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CE1F9" w14:textId="77777777" w:rsidR="00FE648E" w:rsidRPr="00033B8C" w:rsidRDefault="00FE648E" w:rsidP="00FE648E">
      <w:pPr>
        <w:jc w:val="center"/>
        <w:rPr>
          <w:rFonts w:ascii="Arial" w:hAnsi="Arial" w:cs="Arial"/>
          <w:b/>
          <w:bCs/>
          <w:lang w:val="es-ES_tradnl"/>
        </w:rPr>
      </w:pPr>
      <w:r w:rsidRPr="00033B8C">
        <w:rPr>
          <w:rFonts w:ascii="Arial" w:hAnsi="Arial" w:cs="Arial"/>
          <w:b/>
          <w:bCs/>
          <w:lang w:val="es-ES_tradnl"/>
        </w:rPr>
        <w:t>AAEF</w:t>
      </w:r>
    </w:p>
    <w:p w14:paraId="33A5F29C" w14:textId="77777777" w:rsidR="00FE648E" w:rsidRPr="00033B8C" w:rsidRDefault="00FE648E" w:rsidP="00FE648E">
      <w:pPr>
        <w:jc w:val="center"/>
        <w:rPr>
          <w:rFonts w:ascii="Arial" w:hAnsi="Arial" w:cs="Arial"/>
          <w:b/>
          <w:bCs/>
          <w:lang w:val="es-ES_tradnl"/>
        </w:rPr>
      </w:pPr>
    </w:p>
    <w:p w14:paraId="00592CE8" w14:textId="77777777" w:rsidR="00FE648E" w:rsidRPr="00033B8C" w:rsidRDefault="00FE648E" w:rsidP="00FE648E">
      <w:pPr>
        <w:jc w:val="center"/>
        <w:rPr>
          <w:rFonts w:ascii="Arial" w:hAnsi="Arial" w:cs="Arial"/>
          <w:b/>
          <w:bCs/>
          <w:lang w:val="es-ES_tradnl"/>
        </w:rPr>
      </w:pPr>
      <w:r w:rsidRPr="00033B8C">
        <w:rPr>
          <w:rFonts w:ascii="Arial" w:hAnsi="Arial" w:cs="Arial"/>
          <w:b/>
          <w:bCs/>
          <w:lang w:val="es-ES_tradnl"/>
        </w:rPr>
        <w:t>COMISION DE TRIBUTOS LOCALES</w:t>
      </w:r>
    </w:p>
    <w:p w14:paraId="781C78C6" w14:textId="77777777" w:rsidR="00FE648E" w:rsidRPr="00033B8C" w:rsidRDefault="00FE648E" w:rsidP="00FE648E">
      <w:pPr>
        <w:jc w:val="center"/>
        <w:rPr>
          <w:rFonts w:ascii="Arial" w:hAnsi="Arial" w:cs="Arial"/>
          <w:b/>
          <w:bCs/>
          <w:lang w:val="es-ES_tradnl"/>
        </w:rPr>
      </w:pPr>
    </w:p>
    <w:p w14:paraId="7752427B" w14:textId="052B9238" w:rsidR="00FE648E" w:rsidRPr="00033B8C" w:rsidRDefault="00FE648E" w:rsidP="00FE648E">
      <w:pPr>
        <w:jc w:val="center"/>
        <w:rPr>
          <w:rFonts w:ascii="Arial" w:hAnsi="Arial" w:cs="Arial"/>
          <w:b/>
          <w:bCs/>
          <w:lang w:val="es-ES_tradnl"/>
        </w:rPr>
      </w:pPr>
      <w:r w:rsidRPr="00033B8C">
        <w:rPr>
          <w:rFonts w:ascii="Arial" w:hAnsi="Arial" w:cs="Arial"/>
          <w:b/>
          <w:bCs/>
          <w:lang w:val="es-ES_tradnl"/>
        </w:rPr>
        <w:t xml:space="preserve">REUNION – </w:t>
      </w:r>
      <w:r>
        <w:rPr>
          <w:rFonts w:ascii="Arial" w:hAnsi="Arial" w:cs="Arial"/>
          <w:b/>
          <w:bCs/>
          <w:lang w:val="es-ES_tradnl"/>
        </w:rPr>
        <w:t>OCTUBRE</w:t>
      </w:r>
      <w:r w:rsidRPr="00033B8C">
        <w:rPr>
          <w:rFonts w:ascii="Arial" w:hAnsi="Arial" w:cs="Arial"/>
          <w:b/>
          <w:bCs/>
          <w:lang w:val="es-ES_tradnl"/>
        </w:rPr>
        <w:t>/2022</w:t>
      </w:r>
    </w:p>
    <w:p w14:paraId="19E7D541" w14:textId="77777777" w:rsidR="00FE648E" w:rsidRDefault="00FE648E" w:rsidP="00F36FD8">
      <w:pPr>
        <w:snapToGrid w:val="0"/>
        <w:spacing w:after="240" w:line="360" w:lineRule="auto"/>
        <w:jc w:val="both"/>
        <w:rPr>
          <w:rFonts w:ascii="Arial" w:hAnsi="Arial" w:cs="Arial"/>
          <w:b/>
          <w:bCs/>
          <w:sz w:val="20"/>
          <w:szCs w:val="20"/>
          <w:lang w:val="es-ES_tradnl"/>
        </w:rPr>
      </w:pPr>
    </w:p>
    <w:p w14:paraId="7910A2A4" w14:textId="52F2A0E7" w:rsidR="00B92915" w:rsidRPr="00B92915" w:rsidRDefault="00B92915" w:rsidP="00F36FD8">
      <w:pPr>
        <w:snapToGrid w:val="0"/>
        <w:spacing w:after="240" w:line="360" w:lineRule="auto"/>
        <w:jc w:val="both"/>
        <w:rPr>
          <w:rFonts w:ascii="Arial" w:hAnsi="Arial" w:cs="Arial"/>
          <w:b/>
          <w:bCs/>
          <w:sz w:val="20"/>
          <w:szCs w:val="20"/>
          <w:u w:val="single"/>
          <w:lang w:val="es-ES_tradnl"/>
        </w:rPr>
      </w:pPr>
      <w:r w:rsidRPr="00B92915">
        <w:rPr>
          <w:rFonts w:ascii="Arial" w:hAnsi="Arial" w:cs="Arial"/>
          <w:b/>
          <w:bCs/>
          <w:sz w:val="20"/>
          <w:szCs w:val="20"/>
          <w:u w:val="single"/>
          <w:lang w:val="es-ES_tradnl"/>
        </w:rPr>
        <w:t>TEMAS DE INTERES GENERAL</w:t>
      </w:r>
    </w:p>
    <w:p w14:paraId="3283D295" w14:textId="42C4201C" w:rsidR="00861DB5" w:rsidRPr="00B92915" w:rsidRDefault="004C15EB" w:rsidP="00B92915">
      <w:pPr>
        <w:pStyle w:val="Prrafodelista"/>
        <w:numPr>
          <w:ilvl w:val="0"/>
          <w:numId w:val="2"/>
        </w:numPr>
        <w:snapToGrid w:val="0"/>
        <w:spacing w:after="240" w:line="360" w:lineRule="auto"/>
        <w:jc w:val="both"/>
        <w:rPr>
          <w:rFonts w:ascii="Arial" w:hAnsi="Arial" w:cs="Arial"/>
          <w:b/>
          <w:bCs/>
          <w:sz w:val="20"/>
          <w:szCs w:val="20"/>
          <w:lang w:val="es-ES_tradnl"/>
        </w:rPr>
      </w:pPr>
      <w:r w:rsidRPr="00B92915">
        <w:rPr>
          <w:rFonts w:ascii="Arial" w:hAnsi="Arial" w:cs="Arial"/>
          <w:b/>
          <w:bCs/>
          <w:sz w:val="20"/>
          <w:szCs w:val="20"/>
          <w:lang w:val="es-ES_tradnl"/>
        </w:rPr>
        <w:t xml:space="preserve">Pago a Cuenta de los Anticipos del Impuesto sobre los Ingresos Brutos. Provincia de Misiones. </w:t>
      </w:r>
      <w:r w:rsidRPr="00B92915">
        <w:rPr>
          <w:rFonts w:ascii="Arial" w:hAnsi="Arial" w:cs="Arial"/>
          <w:b/>
          <w:bCs/>
          <w:i/>
          <w:iCs/>
          <w:sz w:val="20"/>
          <w:szCs w:val="20"/>
          <w:lang w:val="es-ES_tradnl"/>
        </w:rPr>
        <w:t>“</w:t>
      </w:r>
      <w:r w:rsidRPr="00B92915">
        <w:rPr>
          <w:rFonts w:ascii="Arial" w:hAnsi="Arial" w:cs="Arial"/>
          <w:b/>
          <w:bCs/>
          <w:i/>
          <w:iCs/>
          <w:sz w:val="20"/>
          <w:szCs w:val="20"/>
          <w:lang w:val="es-ES_tradnl"/>
        </w:rPr>
        <w:t>Loma Negra Compañía, Industrial, Argentina,</w:t>
      </w:r>
      <w:r w:rsidRPr="00B92915">
        <w:rPr>
          <w:rFonts w:ascii="Arial" w:hAnsi="Arial" w:cs="Arial"/>
          <w:b/>
          <w:bCs/>
          <w:i/>
          <w:iCs/>
          <w:sz w:val="20"/>
          <w:szCs w:val="20"/>
          <w:lang w:val="es-ES_tradnl"/>
        </w:rPr>
        <w:t xml:space="preserve"> </w:t>
      </w:r>
      <w:r w:rsidRPr="00B92915">
        <w:rPr>
          <w:rFonts w:ascii="Arial" w:hAnsi="Arial" w:cs="Arial"/>
          <w:b/>
          <w:bCs/>
          <w:i/>
          <w:iCs/>
          <w:sz w:val="20"/>
          <w:szCs w:val="20"/>
          <w:lang w:val="es-ES_tradnl"/>
        </w:rPr>
        <w:t>Sociedad Anónima c/ Misiones, Provincia de s/acción declarativa de certeza</w:t>
      </w:r>
      <w:r w:rsidRPr="00B92915">
        <w:rPr>
          <w:rFonts w:ascii="Arial" w:hAnsi="Arial" w:cs="Arial"/>
          <w:b/>
          <w:bCs/>
          <w:i/>
          <w:iCs/>
          <w:sz w:val="20"/>
          <w:szCs w:val="20"/>
          <w:lang w:val="es-ES_tradnl"/>
        </w:rPr>
        <w:t xml:space="preserve"> (27/09/2022)”</w:t>
      </w:r>
      <w:r w:rsidRPr="00B92915">
        <w:rPr>
          <w:rFonts w:ascii="Arial" w:hAnsi="Arial" w:cs="Arial"/>
          <w:b/>
          <w:bCs/>
          <w:sz w:val="20"/>
          <w:szCs w:val="20"/>
          <w:lang w:val="es-ES_tradnl"/>
        </w:rPr>
        <w:t xml:space="preserve">. </w:t>
      </w:r>
    </w:p>
    <w:p w14:paraId="09DCC8C2" w14:textId="66ED23D0" w:rsidR="00F36FD8" w:rsidRDefault="00CE72E7" w:rsidP="00B92915">
      <w:pPr>
        <w:snapToGrid w:val="0"/>
        <w:spacing w:after="240" w:line="360" w:lineRule="auto"/>
        <w:ind w:left="360"/>
        <w:jc w:val="both"/>
        <w:rPr>
          <w:rFonts w:ascii="Arial" w:hAnsi="Arial" w:cs="Arial"/>
          <w:sz w:val="20"/>
          <w:szCs w:val="20"/>
          <w:lang w:val="es-ES_tradnl"/>
        </w:rPr>
      </w:pPr>
      <w:r w:rsidRPr="00CE72E7">
        <w:rPr>
          <w:rFonts w:ascii="Arial" w:hAnsi="Arial" w:cs="Arial"/>
          <w:sz w:val="20"/>
          <w:szCs w:val="20"/>
          <w:lang w:val="es-ES_tradnl"/>
        </w:rPr>
        <w:t xml:space="preserve">Se interpone la acción </w:t>
      </w:r>
      <w:r w:rsidRPr="00CE72E7">
        <w:rPr>
          <w:rFonts w:ascii="Arial" w:hAnsi="Arial" w:cs="Arial"/>
          <w:sz w:val="20"/>
          <w:szCs w:val="20"/>
          <w:lang w:val="es-ES_tradnl"/>
        </w:rPr>
        <w:t>a fin de obtener que se declare la</w:t>
      </w:r>
      <w:r w:rsidRPr="00CE72E7">
        <w:rPr>
          <w:rFonts w:ascii="Arial" w:hAnsi="Arial" w:cs="Arial"/>
          <w:sz w:val="20"/>
          <w:szCs w:val="20"/>
          <w:lang w:val="es-ES_tradnl"/>
        </w:rPr>
        <w:t xml:space="preserve"> </w:t>
      </w:r>
      <w:r w:rsidRPr="00CE72E7">
        <w:rPr>
          <w:rFonts w:ascii="Arial" w:hAnsi="Arial" w:cs="Arial"/>
          <w:sz w:val="20"/>
          <w:szCs w:val="20"/>
          <w:lang w:val="es-ES_tradnl"/>
        </w:rPr>
        <w:t xml:space="preserve">inconstitucionalidad del </w:t>
      </w:r>
      <w:r w:rsidRPr="00CE72E7">
        <w:rPr>
          <w:rFonts w:ascii="Arial" w:hAnsi="Arial" w:cs="Arial"/>
          <w:sz w:val="20"/>
          <w:szCs w:val="20"/>
          <w:lang w:val="es-ES_tradnl"/>
        </w:rPr>
        <w:t>D</w:t>
      </w:r>
      <w:r w:rsidRPr="00CE72E7">
        <w:rPr>
          <w:rFonts w:ascii="Arial" w:hAnsi="Arial" w:cs="Arial"/>
          <w:sz w:val="20"/>
          <w:szCs w:val="20"/>
          <w:lang w:val="es-ES_tradnl"/>
        </w:rPr>
        <w:t xml:space="preserve">ecreto </w:t>
      </w:r>
      <w:r w:rsidRPr="00CE72E7">
        <w:rPr>
          <w:rFonts w:ascii="Arial" w:hAnsi="Arial" w:cs="Arial"/>
          <w:sz w:val="20"/>
          <w:szCs w:val="20"/>
          <w:lang w:val="es-ES_tradnl"/>
        </w:rPr>
        <w:t>P</w:t>
      </w:r>
      <w:r w:rsidRPr="00CE72E7">
        <w:rPr>
          <w:rFonts w:ascii="Arial" w:hAnsi="Arial" w:cs="Arial"/>
          <w:sz w:val="20"/>
          <w:szCs w:val="20"/>
          <w:lang w:val="es-ES_tradnl"/>
        </w:rPr>
        <w:t>rovincial 2913/07 y de la</w:t>
      </w:r>
      <w:r w:rsidRPr="00CE72E7">
        <w:rPr>
          <w:rFonts w:ascii="Arial" w:hAnsi="Arial" w:cs="Arial"/>
          <w:sz w:val="20"/>
          <w:szCs w:val="20"/>
          <w:lang w:val="es-ES_tradnl"/>
        </w:rPr>
        <w:t xml:space="preserve"> R</w:t>
      </w:r>
      <w:r w:rsidRPr="00CE72E7">
        <w:rPr>
          <w:rFonts w:ascii="Arial" w:hAnsi="Arial" w:cs="Arial"/>
          <w:sz w:val="20"/>
          <w:szCs w:val="20"/>
          <w:lang w:val="es-ES_tradnl"/>
        </w:rPr>
        <w:t xml:space="preserve">esolución </w:t>
      </w:r>
      <w:r w:rsidRPr="00CE72E7">
        <w:rPr>
          <w:rFonts w:ascii="Arial" w:hAnsi="Arial" w:cs="Arial"/>
          <w:sz w:val="20"/>
          <w:szCs w:val="20"/>
          <w:lang w:val="es-ES_tradnl"/>
        </w:rPr>
        <w:t>G</w:t>
      </w:r>
      <w:r w:rsidRPr="00CE72E7">
        <w:rPr>
          <w:rFonts w:ascii="Arial" w:hAnsi="Arial" w:cs="Arial"/>
          <w:sz w:val="20"/>
          <w:szCs w:val="20"/>
          <w:lang w:val="es-ES_tradnl"/>
        </w:rPr>
        <w:t xml:space="preserve">eneral </w:t>
      </w:r>
      <w:r w:rsidRPr="00CE72E7">
        <w:rPr>
          <w:rFonts w:ascii="Arial" w:hAnsi="Arial" w:cs="Arial"/>
          <w:sz w:val="20"/>
          <w:szCs w:val="20"/>
          <w:lang w:val="es-ES_tradnl"/>
        </w:rPr>
        <w:t xml:space="preserve">(DGR) </w:t>
      </w:r>
      <w:r w:rsidRPr="00CE72E7">
        <w:rPr>
          <w:rFonts w:ascii="Arial" w:hAnsi="Arial" w:cs="Arial"/>
          <w:sz w:val="20"/>
          <w:szCs w:val="20"/>
          <w:lang w:val="es-ES_tradnl"/>
        </w:rPr>
        <w:t>56/2007</w:t>
      </w:r>
      <w:r>
        <w:rPr>
          <w:rFonts w:ascii="Arial" w:hAnsi="Arial" w:cs="Arial"/>
          <w:sz w:val="20"/>
          <w:szCs w:val="20"/>
          <w:lang w:val="es-ES_tradnl"/>
        </w:rPr>
        <w:t xml:space="preserve">, por medio de la cual </w:t>
      </w:r>
      <w:r w:rsidRPr="00CE72E7">
        <w:rPr>
          <w:rFonts w:ascii="Arial" w:hAnsi="Arial" w:cs="Arial"/>
          <w:sz w:val="20"/>
          <w:szCs w:val="20"/>
          <w:lang w:val="es-ES_tradnl"/>
        </w:rPr>
        <w:t>la</w:t>
      </w:r>
      <w:r>
        <w:rPr>
          <w:rFonts w:ascii="Arial" w:hAnsi="Arial" w:cs="Arial"/>
          <w:sz w:val="20"/>
          <w:szCs w:val="20"/>
          <w:lang w:val="es-ES_tradnl"/>
        </w:rPr>
        <w:t xml:space="preserve"> </w:t>
      </w:r>
      <w:r w:rsidRPr="00CE72E7">
        <w:rPr>
          <w:rFonts w:ascii="Arial" w:hAnsi="Arial" w:cs="Arial"/>
          <w:sz w:val="20"/>
          <w:szCs w:val="20"/>
          <w:lang w:val="es-ES_tradnl"/>
        </w:rPr>
        <w:t>Provincia de Misiones no permite el ingreso de aquellas</w:t>
      </w:r>
      <w:r>
        <w:rPr>
          <w:rFonts w:ascii="Arial" w:hAnsi="Arial" w:cs="Arial"/>
          <w:sz w:val="20"/>
          <w:szCs w:val="20"/>
          <w:lang w:val="es-ES_tradnl"/>
        </w:rPr>
        <w:t xml:space="preserve"> </w:t>
      </w:r>
      <w:r w:rsidRPr="00CE72E7">
        <w:rPr>
          <w:rFonts w:ascii="Arial" w:hAnsi="Arial" w:cs="Arial"/>
          <w:sz w:val="20"/>
          <w:szCs w:val="20"/>
          <w:lang w:val="es-ES_tradnl"/>
        </w:rPr>
        <w:t>mercaderías provenientes de extraña jurisdicción, si previamente</w:t>
      </w:r>
      <w:r>
        <w:rPr>
          <w:rFonts w:ascii="Arial" w:hAnsi="Arial" w:cs="Arial"/>
          <w:sz w:val="20"/>
          <w:szCs w:val="20"/>
          <w:lang w:val="es-ES_tradnl"/>
        </w:rPr>
        <w:t xml:space="preserve"> </w:t>
      </w:r>
      <w:r w:rsidRPr="00CE72E7">
        <w:rPr>
          <w:rFonts w:ascii="Arial" w:hAnsi="Arial" w:cs="Arial"/>
          <w:sz w:val="20"/>
          <w:szCs w:val="20"/>
          <w:lang w:val="es-ES_tradnl"/>
        </w:rPr>
        <w:t xml:space="preserve">no se acredita el pago </w:t>
      </w:r>
      <w:r>
        <w:rPr>
          <w:rFonts w:ascii="Arial" w:hAnsi="Arial" w:cs="Arial"/>
          <w:sz w:val="20"/>
          <w:szCs w:val="20"/>
          <w:lang w:val="es-ES_tradnl"/>
        </w:rPr>
        <w:t>a cuenta. Vulneración de la cláusula comercial (inc. 13, art. 75, CN), actuando como una aduana interior (art. 9, 10, 11, 75, inc. 1 y 10 y 126).</w:t>
      </w:r>
      <w:r w:rsidR="00F36FD8">
        <w:rPr>
          <w:rFonts w:ascii="Arial" w:hAnsi="Arial" w:cs="Arial"/>
          <w:sz w:val="20"/>
          <w:szCs w:val="20"/>
          <w:lang w:val="es-ES_tradnl"/>
        </w:rPr>
        <w:t xml:space="preserve"> También se solicita una medida cautelar, hasta que se resuelva el fondo de la cuestión, más allá de gozar de certificados de exclusión del régimen, plantando que </w:t>
      </w:r>
      <w:r w:rsidR="00F36FD8" w:rsidRPr="00F36FD8">
        <w:rPr>
          <w:rFonts w:ascii="Arial" w:hAnsi="Arial" w:cs="Arial"/>
          <w:i/>
          <w:iCs/>
          <w:sz w:val="20"/>
          <w:szCs w:val="20"/>
          <w:lang w:val="es-ES_tradnl"/>
        </w:rPr>
        <w:t>“</w:t>
      </w:r>
      <w:r w:rsidR="00F36FD8" w:rsidRPr="00F36FD8">
        <w:rPr>
          <w:rFonts w:ascii="Arial" w:hAnsi="Arial" w:cs="Arial"/>
          <w:i/>
          <w:iCs/>
          <w:sz w:val="20"/>
          <w:szCs w:val="20"/>
          <w:lang w:val="es-ES_tradnl"/>
        </w:rPr>
        <w:t>la pretensión cautelar</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que se solicita no se ha tornado abstracta pues no existe un</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procedimiento que establezca pautas precisas para la exclusión</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de dicho régimen, y que el criterio resulta arbitrario por lo</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que nada impediría que luego se pudieren dejar sin efecto esos</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actos administrativos, o que a futuro no se volviesen a renovar</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las excepciones otorgadas y se pudiere dilatar su tratamiento de</w:t>
      </w:r>
      <w:r w:rsidR="00F36FD8" w:rsidRPr="00F36FD8">
        <w:rPr>
          <w:rFonts w:ascii="Arial" w:hAnsi="Arial" w:cs="Arial"/>
          <w:i/>
          <w:iCs/>
          <w:sz w:val="20"/>
          <w:szCs w:val="20"/>
          <w:lang w:val="es-ES_tradnl"/>
        </w:rPr>
        <w:t xml:space="preserve"> </w:t>
      </w:r>
      <w:r w:rsidR="00F36FD8" w:rsidRPr="00F36FD8">
        <w:rPr>
          <w:rFonts w:ascii="Arial" w:hAnsi="Arial" w:cs="Arial"/>
          <w:i/>
          <w:iCs/>
          <w:sz w:val="20"/>
          <w:szCs w:val="20"/>
          <w:lang w:val="es-ES_tradnl"/>
        </w:rPr>
        <w:t>forma indefinida</w:t>
      </w:r>
      <w:r w:rsidR="00F36FD8" w:rsidRPr="00F36FD8">
        <w:rPr>
          <w:rFonts w:ascii="Arial" w:hAnsi="Arial" w:cs="Arial"/>
          <w:i/>
          <w:iCs/>
          <w:sz w:val="20"/>
          <w:szCs w:val="20"/>
          <w:lang w:val="es-ES_tradnl"/>
        </w:rPr>
        <w:t>”</w:t>
      </w:r>
      <w:r w:rsidR="00F36FD8">
        <w:rPr>
          <w:rFonts w:ascii="Arial" w:hAnsi="Arial" w:cs="Arial"/>
          <w:sz w:val="20"/>
          <w:szCs w:val="20"/>
          <w:lang w:val="es-ES_tradnl"/>
        </w:rPr>
        <w:t>.</w:t>
      </w:r>
    </w:p>
    <w:p w14:paraId="57660B59" w14:textId="03564BEF" w:rsidR="00F36FD8" w:rsidRDefault="00F36FD8" w:rsidP="00B92915">
      <w:pPr>
        <w:snapToGrid w:val="0"/>
        <w:spacing w:after="240" w:line="360" w:lineRule="auto"/>
        <w:ind w:left="1068"/>
        <w:jc w:val="both"/>
        <w:rPr>
          <w:rFonts w:ascii="Arial" w:hAnsi="Arial" w:cs="Arial"/>
          <w:sz w:val="20"/>
          <w:szCs w:val="20"/>
          <w:lang w:val="es-ES_tradnl"/>
        </w:rPr>
      </w:pPr>
      <w:r w:rsidRPr="00A602F6">
        <w:rPr>
          <w:rFonts w:ascii="Arial" w:hAnsi="Arial" w:cs="Arial"/>
          <w:b/>
          <w:bCs/>
          <w:sz w:val="20"/>
          <w:szCs w:val="20"/>
          <w:lang w:val="es-ES_tradnl"/>
        </w:rPr>
        <w:t>Dictamen de la PGN (4/04/2017).</w:t>
      </w:r>
      <w:r>
        <w:rPr>
          <w:rFonts w:ascii="Arial" w:hAnsi="Arial" w:cs="Arial"/>
          <w:sz w:val="20"/>
          <w:szCs w:val="20"/>
          <w:lang w:val="es-ES_tradnl"/>
        </w:rPr>
        <w:t xml:space="preserve"> La causa reviste un manifiesto contenido federal. </w:t>
      </w:r>
      <w:r w:rsidR="00A602F6" w:rsidRPr="00A602F6">
        <w:rPr>
          <w:rFonts w:ascii="Arial" w:hAnsi="Arial" w:cs="Arial"/>
          <w:i/>
          <w:iCs/>
          <w:sz w:val="20"/>
          <w:szCs w:val="20"/>
          <w:lang w:val="es-ES_tradnl"/>
        </w:rPr>
        <w:t>“A</w:t>
      </w:r>
      <w:r w:rsidRPr="00A602F6">
        <w:rPr>
          <w:rFonts w:ascii="Arial" w:hAnsi="Arial" w:cs="Arial"/>
          <w:i/>
          <w:iCs/>
          <w:sz w:val="20"/>
          <w:szCs w:val="20"/>
          <w:lang w:val="es-ES_tradnl"/>
        </w:rPr>
        <w:t>unque la actora dirige la acción de</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inconstitucionalidad contra normas locales, se advierte que tal</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pretensión exige -esencial e ineludiblemente- dilucidar si lo</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dispuesto en ellas interfiere en el ámbito que le es propio a la</w:t>
      </w:r>
      <w:r w:rsidRPr="00A602F6">
        <w:rPr>
          <w:rFonts w:ascii="Arial" w:hAnsi="Arial" w:cs="Arial"/>
          <w:i/>
          <w:iCs/>
          <w:sz w:val="20"/>
          <w:szCs w:val="20"/>
          <w:lang w:val="es-ES_tradnl"/>
        </w:rPr>
        <w:t xml:space="preserve"> </w:t>
      </w:r>
      <w:r w:rsidR="00A602F6" w:rsidRPr="00A602F6">
        <w:rPr>
          <w:rFonts w:ascii="Arial" w:hAnsi="Arial" w:cs="Arial"/>
          <w:i/>
          <w:iCs/>
          <w:sz w:val="20"/>
          <w:szCs w:val="20"/>
          <w:lang w:val="es-ES_tradnl"/>
        </w:rPr>
        <w:t>Nación en lo relacionado con la regulación del comercio</w:t>
      </w:r>
      <w:r w:rsidR="00A602F6" w:rsidRPr="00A602F6">
        <w:rPr>
          <w:rFonts w:ascii="Arial" w:hAnsi="Arial" w:cs="Arial"/>
          <w:i/>
          <w:iCs/>
          <w:sz w:val="20"/>
          <w:szCs w:val="20"/>
          <w:lang w:val="es-ES_tradnl"/>
        </w:rPr>
        <w:t xml:space="preserve"> </w:t>
      </w:r>
      <w:r w:rsidR="00A602F6" w:rsidRPr="00A602F6">
        <w:rPr>
          <w:rFonts w:ascii="Arial" w:hAnsi="Arial" w:cs="Arial"/>
          <w:i/>
          <w:iCs/>
          <w:sz w:val="20"/>
          <w:szCs w:val="20"/>
          <w:lang w:val="es-ES_tradnl"/>
        </w:rPr>
        <w:t xml:space="preserve">interjurisdiccional (arts. 75, inc. 13 </w:t>
      </w:r>
      <w:r w:rsidR="00A602F6" w:rsidRPr="00A602F6">
        <w:rPr>
          <w:rFonts w:ascii="Arial" w:hAnsi="Arial" w:cs="Arial"/>
          <w:i/>
          <w:iCs/>
          <w:sz w:val="20"/>
          <w:szCs w:val="20"/>
          <w:lang w:val="es-ES_tradnl"/>
        </w:rPr>
        <w:t>y</w:t>
      </w:r>
      <w:r w:rsidR="00A602F6" w:rsidRPr="00A602F6">
        <w:rPr>
          <w:rFonts w:ascii="Arial" w:hAnsi="Arial" w:cs="Arial"/>
          <w:i/>
          <w:iCs/>
          <w:sz w:val="20"/>
          <w:szCs w:val="20"/>
          <w:lang w:val="es-ES_tradnl"/>
        </w:rPr>
        <w:t xml:space="preserve"> 126 de la Ley</w:t>
      </w:r>
      <w:r w:rsidR="00A602F6" w:rsidRPr="00A602F6">
        <w:rPr>
          <w:rFonts w:ascii="Arial" w:hAnsi="Arial" w:cs="Arial"/>
          <w:i/>
          <w:iCs/>
          <w:sz w:val="20"/>
          <w:szCs w:val="20"/>
          <w:lang w:val="es-ES_tradnl"/>
        </w:rPr>
        <w:t xml:space="preserve"> </w:t>
      </w:r>
      <w:r w:rsidR="00A602F6" w:rsidRPr="00A602F6">
        <w:rPr>
          <w:rFonts w:ascii="Arial" w:hAnsi="Arial" w:cs="Arial"/>
          <w:i/>
          <w:iCs/>
          <w:sz w:val="20"/>
          <w:szCs w:val="20"/>
          <w:lang w:val="es-ES_tradnl"/>
        </w:rPr>
        <w:t>Fundamental) y al establecimiento de aduanas interiores</w:t>
      </w:r>
      <w:r w:rsidR="00A602F6">
        <w:rPr>
          <w:rFonts w:ascii="Arial" w:hAnsi="Arial" w:cs="Arial"/>
          <w:sz w:val="20"/>
          <w:szCs w:val="20"/>
          <w:lang w:val="es-ES_tradnl"/>
        </w:rPr>
        <w:t>”.</w:t>
      </w:r>
    </w:p>
    <w:p w14:paraId="20ABBA89" w14:textId="063266D0" w:rsidR="00A602F6" w:rsidRDefault="00A602F6" w:rsidP="00B92915">
      <w:pPr>
        <w:snapToGrid w:val="0"/>
        <w:spacing w:after="240" w:line="360" w:lineRule="auto"/>
        <w:ind w:left="1068"/>
        <w:jc w:val="both"/>
        <w:rPr>
          <w:rFonts w:ascii="Arial" w:hAnsi="Arial" w:cs="Arial"/>
          <w:i/>
          <w:iCs/>
          <w:sz w:val="20"/>
          <w:szCs w:val="20"/>
          <w:lang w:val="es-ES_tradnl"/>
        </w:rPr>
      </w:pPr>
      <w:r w:rsidRPr="00A602F6">
        <w:rPr>
          <w:rFonts w:ascii="Arial" w:hAnsi="Arial" w:cs="Arial"/>
          <w:b/>
          <w:bCs/>
          <w:sz w:val="20"/>
          <w:szCs w:val="20"/>
          <w:lang w:val="es-ES_tradnl"/>
        </w:rPr>
        <w:t>CSJN.</w:t>
      </w:r>
      <w:r>
        <w:rPr>
          <w:rFonts w:ascii="Arial" w:hAnsi="Arial" w:cs="Arial"/>
          <w:sz w:val="20"/>
          <w:szCs w:val="20"/>
          <w:lang w:val="es-ES_tradnl"/>
        </w:rPr>
        <w:t xml:space="preserve"> En materia de competencia hace suyo el Dictamen. En cuanto a la medida cautelar se expresa: </w:t>
      </w:r>
      <w:r w:rsidRPr="00A602F6">
        <w:rPr>
          <w:rFonts w:ascii="Arial" w:hAnsi="Arial" w:cs="Arial"/>
          <w:i/>
          <w:iCs/>
          <w:sz w:val="20"/>
          <w:szCs w:val="20"/>
          <w:lang w:val="es-ES_tradnl"/>
        </w:rPr>
        <w:t>“</w:t>
      </w:r>
      <w:r w:rsidRPr="00A602F6">
        <w:rPr>
          <w:rFonts w:ascii="Arial" w:hAnsi="Arial" w:cs="Arial"/>
          <w:i/>
          <w:iCs/>
          <w:sz w:val="20"/>
          <w:szCs w:val="20"/>
          <w:lang w:val="es-ES_tradnl"/>
        </w:rPr>
        <w:t>los elementos de ponderación obrantes</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en la causa permiten concluir que, en el presente caso, resultan</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suficientemente acreditadas la verosimilitud en el derecho y la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configuración de los demás presupuestos establecidos en el art.</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230 del Código Procesal Civil y Comercial de la Nación para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acceder a la medida pedida</w:t>
      </w:r>
      <w:r w:rsidRPr="00A602F6">
        <w:rPr>
          <w:rFonts w:ascii="Arial" w:hAnsi="Arial" w:cs="Arial"/>
          <w:i/>
          <w:iCs/>
          <w:sz w:val="20"/>
          <w:szCs w:val="20"/>
          <w:lang w:val="es-ES_tradnl"/>
        </w:rPr>
        <w:t>”</w:t>
      </w:r>
      <w:r>
        <w:rPr>
          <w:rFonts w:ascii="Arial" w:hAnsi="Arial" w:cs="Arial"/>
          <w:sz w:val="20"/>
          <w:szCs w:val="20"/>
          <w:lang w:val="es-ES_tradnl"/>
        </w:rPr>
        <w:t>…..</w:t>
      </w:r>
      <w:r w:rsidRPr="00A602F6">
        <w:rPr>
          <w:rFonts w:ascii="Arial" w:hAnsi="Arial" w:cs="Arial"/>
          <w:i/>
          <w:iCs/>
          <w:sz w:val="20"/>
          <w:szCs w:val="20"/>
          <w:lang w:val="es-ES_tradnl"/>
        </w:rPr>
        <w:t xml:space="preserve">”por lo tanto, se decreta la medida cautelar y se ordena </w:t>
      </w:r>
      <w:r w:rsidRPr="00A602F6">
        <w:rPr>
          <w:rFonts w:ascii="Arial" w:hAnsi="Arial" w:cs="Arial"/>
          <w:i/>
          <w:iCs/>
          <w:sz w:val="20"/>
          <w:szCs w:val="20"/>
          <w:lang w:val="es-ES_tradnl"/>
        </w:rPr>
        <w:t>y ordenar a la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Provincia de Misiones que deberá abstenerse de obstaculizar el</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ingreso de mercaderías fabricadas y comercializadas por Loma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 xml:space="preserve">Negra Compañía Industrial Argentina S.A. </w:t>
      </w:r>
      <w:r w:rsidRPr="00A602F6">
        <w:rPr>
          <w:rFonts w:ascii="Arial" w:hAnsi="Arial" w:cs="Arial"/>
          <w:i/>
          <w:iCs/>
          <w:sz w:val="20"/>
          <w:szCs w:val="20"/>
          <w:lang w:val="es-ES_tradnl"/>
        </w:rPr>
        <w:lastRenderedPageBreak/>
        <w:t>provenientes de extraña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jurisdicción por el solo hecho de no haber efectuado el pago 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cuenta de los anticipos del impuesto sobre los ingresos brutos</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previsto en la resolución general 56/2007 dictada por la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Dirección General de Rentas Provincial, como así también de</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adoptar cualquier medida que en forma directa o indirecta impida</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el ingreso y/o egreso de la mercadería con fundamento en las</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normas provinciales que aquí se impugnan y constituyen el objeto</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de estos autos, hasta tanto se dicte sentencia definitiva en las</w:t>
      </w:r>
      <w:r w:rsidRPr="00A602F6">
        <w:rPr>
          <w:rFonts w:ascii="Arial" w:hAnsi="Arial" w:cs="Arial"/>
          <w:i/>
          <w:iCs/>
          <w:sz w:val="20"/>
          <w:szCs w:val="20"/>
          <w:lang w:val="es-ES_tradnl"/>
        </w:rPr>
        <w:t xml:space="preserve"> </w:t>
      </w:r>
      <w:r w:rsidRPr="00A602F6">
        <w:rPr>
          <w:rFonts w:ascii="Arial" w:hAnsi="Arial" w:cs="Arial"/>
          <w:i/>
          <w:iCs/>
          <w:sz w:val="20"/>
          <w:szCs w:val="20"/>
          <w:lang w:val="es-ES_tradnl"/>
        </w:rPr>
        <w:t>presentes actuaciones</w:t>
      </w:r>
      <w:r w:rsidRPr="00A602F6">
        <w:rPr>
          <w:rFonts w:ascii="Arial" w:hAnsi="Arial" w:cs="Arial"/>
          <w:i/>
          <w:iCs/>
          <w:sz w:val="20"/>
          <w:szCs w:val="20"/>
          <w:lang w:val="es-ES_tradnl"/>
        </w:rPr>
        <w:t>…”</w:t>
      </w:r>
      <w:r>
        <w:rPr>
          <w:rFonts w:ascii="Arial" w:hAnsi="Arial" w:cs="Arial"/>
          <w:i/>
          <w:iCs/>
          <w:sz w:val="20"/>
          <w:szCs w:val="20"/>
          <w:lang w:val="es-ES_tradnl"/>
        </w:rPr>
        <w:t>.</w:t>
      </w:r>
    </w:p>
    <w:p w14:paraId="569EF461" w14:textId="68B93ACD" w:rsidR="00861DB5" w:rsidRPr="00E36925" w:rsidRDefault="00E36925" w:rsidP="00B92915">
      <w:pPr>
        <w:pStyle w:val="Prrafodelista"/>
        <w:numPr>
          <w:ilvl w:val="0"/>
          <w:numId w:val="1"/>
        </w:numPr>
        <w:snapToGrid w:val="0"/>
        <w:spacing w:after="240" w:line="360" w:lineRule="auto"/>
        <w:ind w:left="1080" w:hanging="357"/>
        <w:contextualSpacing w:val="0"/>
        <w:jc w:val="both"/>
        <w:rPr>
          <w:rFonts w:ascii="Arial" w:hAnsi="Arial" w:cs="Arial"/>
          <w:sz w:val="20"/>
          <w:szCs w:val="20"/>
          <w:lang w:val="es-ES_tradnl"/>
        </w:rPr>
      </w:pPr>
      <w:r w:rsidRPr="00E36925">
        <w:rPr>
          <w:rFonts w:ascii="Arial" w:hAnsi="Arial" w:cs="Arial"/>
          <w:b/>
          <w:bCs/>
          <w:i/>
          <w:iCs/>
          <w:sz w:val="20"/>
          <w:szCs w:val="20"/>
          <w:lang w:val="es-ES_tradnl"/>
        </w:rPr>
        <w:t>“</w:t>
      </w:r>
      <w:proofErr w:type="spellStart"/>
      <w:r w:rsidR="00861DB5" w:rsidRPr="00E36925">
        <w:rPr>
          <w:rFonts w:ascii="Arial" w:hAnsi="Arial" w:cs="Arial"/>
          <w:b/>
          <w:bCs/>
          <w:i/>
          <w:iCs/>
          <w:sz w:val="20"/>
          <w:szCs w:val="20"/>
          <w:lang w:val="es-ES_tradnl"/>
        </w:rPr>
        <w:t>Akapol</w:t>
      </w:r>
      <w:proofErr w:type="spellEnd"/>
      <w:r w:rsidR="00861DB5" w:rsidRPr="00E36925">
        <w:rPr>
          <w:rFonts w:ascii="Arial" w:hAnsi="Arial" w:cs="Arial"/>
          <w:b/>
          <w:bCs/>
          <w:i/>
          <w:iCs/>
          <w:sz w:val="20"/>
          <w:szCs w:val="20"/>
          <w:lang w:val="es-ES_tradnl"/>
        </w:rPr>
        <w:t xml:space="preserve"> S.A. c/ Misiones, Provincia de s/acción declarativa de certeza</w:t>
      </w:r>
      <w:r w:rsidRPr="00E36925">
        <w:rPr>
          <w:rFonts w:ascii="Arial" w:hAnsi="Arial" w:cs="Arial"/>
          <w:b/>
          <w:bCs/>
          <w:i/>
          <w:iCs/>
          <w:sz w:val="20"/>
          <w:szCs w:val="20"/>
          <w:lang w:val="es-ES_tradnl"/>
        </w:rPr>
        <w:t xml:space="preserve"> (27/09/2022)”</w:t>
      </w:r>
      <w:r w:rsidRPr="00E36925">
        <w:rPr>
          <w:rFonts w:ascii="Arial" w:hAnsi="Arial" w:cs="Arial"/>
          <w:sz w:val="20"/>
          <w:szCs w:val="20"/>
          <w:lang w:val="es-ES_tradnl"/>
        </w:rPr>
        <w:t>. Se remite a Loma Negra</w:t>
      </w:r>
      <w:r>
        <w:rPr>
          <w:rFonts w:ascii="Arial" w:hAnsi="Arial" w:cs="Arial"/>
          <w:sz w:val="20"/>
          <w:szCs w:val="20"/>
          <w:lang w:val="es-ES_tradnl"/>
        </w:rPr>
        <w:t>. No hay medida cautelar.</w:t>
      </w:r>
    </w:p>
    <w:p w14:paraId="1516D190" w14:textId="03FB1619" w:rsidR="00B92915" w:rsidRDefault="00D27F35" w:rsidP="00F36FD8">
      <w:pPr>
        <w:pStyle w:val="Prrafodelista"/>
        <w:numPr>
          <w:ilvl w:val="0"/>
          <w:numId w:val="2"/>
        </w:numPr>
        <w:snapToGrid w:val="0"/>
        <w:spacing w:after="240" w:line="360" w:lineRule="auto"/>
        <w:ind w:hanging="357"/>
        <w:contextualSpacing w:val="0"/>
        <w:jc w:val="both"/>
        <w:rPr>
          <w:rFonts w:ascii="Arial" w:hAnsi="Arial" w:cs="Arial"/>
          <w:i/>
          <w:iCs/>
          <w:sz w:val="20"/>
          <w:szCs w:val="20"/>
          <w:lang w:val="es-ES_tradnl"/>
        </w:rPr>
      </w:pPr>
      <w:r w:rsidRPr="00B92915">
        <w:rPr>
          <w:rFonts w:ascii="Arial" w:hAnsi="Arial" w:cs="Arial"/>
          <w:b/>
          <w:bCs/>
          <w:sz w:val="20"/>
          <w:szCs w:val="20"/>
          <w:lang w:val="es-ES_tradnl"/>
        </w:rPr>
        <w:t xml:space="preserve">Ley 27.687 (BO 4/10/2022). Consenso Fiscal. </w:t>
      </w:r>
      <w:r w:rsidRPr="00B92915">
        <w:rPr>
          <w:rFonts w:ascii="Arial" w:hAnsi="Arial" w:cs="Arial"/>
          <w:sz w:val="20"/>
          <w:szCs w:val="20"/>
          <w:lang w:val="es-ES_tradnl"/>
        </w:rPr>
        <w:t xml:space="preserve">Análisis entre los presentes de las distintas </w:t>
      </w:r>
      <w:r w:rsidR="00B92915" w:rsidRPr="00B92915">
        <w:rPr>
          <w:rFonts w:ascii="Arial" w:hAnsi="Arial" w:cs="Arial"/>
          <w:sz w:val="20"/>
          <w:szCs w:val="20"/>
          <w:lang w:val="es-ES_tradnl"/>
        </w:rPr>
        <w:t>clausulas</w:t>
      </w:r>
      <w:r w:rsidRPr="00B92915">
        <w:rPr>
          <w:rFonts w:ascii="Arial" w:hAnsi="Arial" w:cs="Arial"/>
          <w:sz w:val="20"/>
          <w:szCs w:val="20"/>
          <w:lang w:val="es-ES_tradnl"/>
        </w:rPr>
        <w:t xml:space="preserve"> y eventuales consecuencias en las Leyes Impositivas y Códigos Fiscales aplicables en el año 2023. Legislaturas provinciales que lo han aprobado (estatus). </w:t>
      </w:r>
      <w:r w:rsidRPr="00B92915">
        <w:rPr>
          <w:rFonts w:ascii="Arial" w:hAnsi="Arial" w:cs="Arial"/>
          <w:i/>
          <w:iCs/>
          <w:sz w:val="20"/>
          <w:szCs w:val="20"/>
          <w:lang w:val="es-ES_tradnl"/>
        </w:rPr>
        <w:t>¿Cuál ha sido el estado de situación entre el 1/1/2022 y 4/10/2022 (o las legislaturas que no lo han aprobado), en relación con el Consenso Fiscal 2017?</w:t>
      </w:r>
    </w:p>
    <w:p w14:paraId="5BE17306" w14:textId="5B06B450" w:rsidR="00B92915" w:rsidRPr="00B92915" w:rsidRDefault="00B92915" w:rsidP="00B92915">
      <w:pPr>
        <w:snapToGrid w:val="0"/>
        <w:spacing w:after="240" w:line="360" w:lineRule="auto"/>
        <w:jc w:val="both"/>
        <w:rPr>
          <w:rFonts w:ascii="Arial" w:hAnsi="Arial" w:cs="Arial"/>
          <w:b/>
          <w:bCs/>
          <w:sz w:val="20"/>
          <w:szCs w:val="20"/>
          <w:u w:val="single"/>
          <w:lang w:val="es-ES_tradnl"/>
        </w:rPr>
      </w:pPr>
      <w:r w:rsidRPr="00B92915">
        <w:rPr>
          <w:rFonts w:ascii="Arial" w:hAnsi="Arial" w:cs="Arial"/>
          <w:b/>
          <w:bCs/>
          <w:sz w:val="20"/>
          <w:szCs w:val="20"/>
          <w:u w:val="single"/>
          <w:lang w:val="es-ES_tradnl"/>
        </w:rPr>
        <w:t>CORTE SUPREMA DE JUSTICIA DE LA NACION</w:t>
      </w:r>
    </w:p>
    <w:p w14:paraId="148B7247" w14:textId="5AA207EC" w:rsidR="0074173C" w:rsidRPr="00B92915" w:rsidRDefault="002F30AD" w:rsidP="00B92915">
      <w:pPr>
        <w:pStyle w:val="Prrafodelista"/>
        <w:numPr>
          <w:ilvl w:val="0"/>
          <w:numId w:val="2"/>
        </w:numPr>
        <w:snapToGrid w:val="0"/>
        <w:spacing w:after="240" w:line="360" w:lineRule="auto"/>
        <w:ind w:left="357" w:hanging="357"/>
        <w:contextualSpacing w:val="0"/>
        <w:jc w:val="both"/>
        <w:rPr>
          <w:rFonts w:ascii="Arial" w:hAnsi="Arial" w:cs="Arial"/>
          <w:sz w:val="20"/>
          <w:szCs w:val="20"/>
          <w:lang w:val="es-ES_tradnl"/>
        </w:rPr>
      </w:pPr>
      <w:r w:rsidRPr="00B92915">
        <w:rPr>
          <w:rFonts w:ascii="Arial" w:hAnsi="Arial" w:cs="Arial"/>
          <w:b/>
          <w:bCs/>
          <w:sz w:val="20"/>
          <w:szCs w:val="20"/>
          <w:lang w:val="es-ES_tradnl"/>
        </w:rPr>
        <w:t>Impuesto sobre los Ingresos Brutos. Alícuotas Diferenciales (2016)</w:t>
      </w:r>
      <w:r w:rsidR="000B49C8" w:rsidRPr="00B92915">
        <w:rPr>
          <w:rFonts w:ascii="Arial" w:hAnsi="Arial" w:cs="Arial"/>
          <w:b/>
          <w:bCs/>
          <w:sz w:val="20"/>
          <w:szCs w:val="20"/>
          <w:lang w:val="es-ES_tradnl"/>
        </w:rPr>
        <w:t xml:space="preserve">: </w:t>
      </w:r>
      <w:r w:rsidR="000B49C8" w:rsidRPr="00B92915">
        <w:rPr>
          <w:rFonts w:ascii="Arial" w:hAnsi="Arial" w:cs="Arial"/>
          <w:sz w:val="20"/>
          <w:szCs w:val="20"/>
          <w:lang w:val="es-ES_tradnl"/>
        </w:rPr>
        <w:t xml:space="preserve">4,75% </w:t>
      </w:r>
      <w:r w:rsidR="000B49C8" w:rsidRPr="00B92915">
        <w:rPr>
          <w:rFonts w:ascii="Arial" w:hAnsi="Arial" w:cs="Arial"/>
          <w:i/>
          <w:iCs/>
          <w:sz w:val="20"/>
          <w:szCs w:val="20"/>
          <w:lang w:val="es-ES_tradnl"/>
        </w:rPr>
        <w:t>versus</w:t>
      </w:r>
      <w:r w:rsidR="000B49C8" w:rsidRPr="00B92915">
        <w:rPr>
          <w:rFonts w:ascii="Arial" w:hAnsi="Arial" w:cs="Arial"/>
          <w:sz w:val="20"/>
          <w:szCs w:val="20"/>
          <w:lang w:val="es-ES_tradnl"/>
        </w:rPr>
        <w:t xml:space="preserve"> 0,50%</w:t>
      </w:r>
      <w:r w:rsidR="000B49C8" w:rsidRPr="00B92915">
        <w:rPr>
          <w:rFonts w:ascii="Arial" w:hAnsi="Arial" w:cs="Arial"/>
          <w:sz w:val="20"/>
          <w:szCs w:val="20"/>
          <w:lang w:val="es-ES_tradnl"/>
        </w:rPr>
        <w:t xml:space="preserve"> (</w:t>
      </w:r>
      <w:r w:rsidR="000B49C8" w:rsidRPr="00B92915">
        <w:rPr>
          <w:rFonts w:ascii="Arial" w:hAnsi="Arial" w:cs="Arial"/>
          <w:sz w:val="20"/>
          <w:szCs w:val="20"/>
          <w:lang w:val="es-ES_tradnl"/>
        </w:rPr>
        <w:t>por no poseer establecimiento en la provincia)</w:t>
      </w:r>
      <w:r w:rsidR="000B49C8" w:rsidRPr="00B92915">
        <w:rPr>
          <w:rFonts w:ascii="Arial" w:hAnsi="Arial" w:cs="Arial"/>
          <w:sz w:val="20"/>
          <w:szCs w:val="20"/>
          <w:lang w:val="es-ES_tradnl"/>
        </w:rPr>
        <w:t>. El r</w:t>
      </w:r>
      <w:r w:rsidRPr="00B92915">
        <w:rPr>
          <w:rFonts w:ascii="Arial" w:hAnsi="Arial" w:cs="Arial"/>
          <w:sz w:val="20"/>
          <w:szCs w:val="20"/>
          <w:lang w:val="es-ES_tradnl"/>
        </w:rPr>
        <w:t xml:space="preserve">eclamo </w:t>
      </w:r>
      <w:r w:rsidR="000B49C8" w:rsidRPr="00B92915">
        <w:rPr>
          <w:rFonts w:ascii="Arial" w:hAnsi="Arial" w:cs="Arial"/>
          <w:sz w:val="20"/>
          <w:szCs w:val="20"/>
          <w:lang w:val="es-ES_tradnl"/>
        </w:rPr>
        <w:t xml:space="preserve">fue </w:t>
      </w:r>
      <w:r w:rsidRPr="00B92915">
        <w:rPr>
          <w:rFonts w:ascii="Arial" w:hAnsi="Arial" w:cs="Arial"/>
          <w:sz w:val="20"/>
          <w:szCs w:val="20"/>
          <w:lang w:val="es-ES_tradnl"/>
        </w:rPr>
        <w:t xml:space="preserve">cursado por la DGR el 29/03/2016 </w:t>
      </w:r>
      <w:r w:rsidR="000B49C8" w:rsidRPr="00B92915">
        <w:rPr>
          <w:rFonts w:ascii="Arial" w:hAnsi="Arial" w:cs="Arial"/>
          <w:sz w:val="20"/>
          <w:szCs w:val="20"/>
          <w:lang w:val="es-ES_tradnl"/>
        </w:rPr>
        <w:t xml:space="preserve">y hubo sendas </w:t>
      </w:r>
      <w:r w:rsidRPr="00B92915">
        <w:rPr>
          <w:rFonts w:ascii="Arial" w:hAnsi="Arial" w:cs="Arial"/>
          <w:sz w:val="20"/>
          <w:szCs w:val="20"/>
          <w:lang w:val="es-ES_tradnl"/>
        </w:rPr>
        <w:t xml:space="preserve">intimaciones al pago notificadas por medio de las </w:t>
      </w:r>
      <w:r w:rsidR="000B49C8" w:rsidRPr="00B92915">
        <w:rPr>
          <w:rFonts w:ascii="Arial" w:hAnsi="Arial" w:cs="Arial"/>
          <w:sz w:val="20"/>
          <w:szCs w:val="20"/>
          <w:lang w:val="es-ES_tradnl"/>
        </w:rPr>
        <w:t>R</w:t>
      </w:r>
      <w:r w:rsidRPr="00B92915">
        <w:rPr>
          <w:rFonts w:ascii="Arial" w:hAnsi="Arial" w:cs="Arial"/>
          <w:sz w:val="20"/>
          <w:szCs w:val="20"/>
          <w:lang w:val="es-ES_tradnl"/>
        </w:rPr>
        <w:t xml:space="preserve">esoluciones </w:t>
      </w:r>
      <w:r w:rsidR="000B49C8" w:rsidRPr="00B92915">
        <w:rPr>
          <w:rFonts w:ascii="Arial" w:hAnsi="Arial" w:cs="Arial"/>
          <w:sz w:val="20"/>
          <w:szCs w:val="20"/>
          <w:lang w:val="es-ES_tradnl"/>
        </w:rPr>
        <w:t>(</w:t>
      </w:r>
      <w:r w:rsidRPr="00B92915">
        <w:rPr>
          <w:rFonts w:ascii="Arial" w:hAnsi="Arial" w:cs="Arial"/>
          <w:sz w:val="20"/>
          <w:szCs w:val="20"/>
          <w:lang w:val="es-ES_tradnl"/>
        </w:rPr>
        <w:t xml:space="preserve">DJRGDA) 18/2016 y 64/2016. La CSJN expresa que: </w:t>
      </w:r>
      <w:r w:rsidR="00DD458E" w:rsidRPr="00B92915">
        <w:rPr>
          <w:rFonts w:ascii="Arial" w:hAnsi="Arial" w:cs="Arial"/>
          <w:i/>
          <w:iCs/>
          <w:sz w:val="20"/>
          <w:szCs w:val="20"/>
          <w:lang w:val="es-ES_tradnl"/>
        </w:rPr>
        <w:t>“a</w:t>
      </w:r>
      <w:r w:rsidRPr="00B92915">
        <w:rPr>
          <w:rFonts w:ascii="Arial" w:hAnsi="Arial" w:cs="Arial"/>
          <w:i/>
          <w:iCs/>
          <w:sz w:val="20"/>
          <w:szCs w:val="20"/>
          <w:lang w:val="es-ES_tradnl"/>
        </w:rPr>
        <w:t xml:space="preserve"> la luz de lo expuesto, en el presente caso, se advierte que ha mediado una </w:t>
      </w:r>
      <w:r w:rsidRPr="00B92915">
        <w:rPr>
          <w:rFonts w:ascii="Arial" w:hAnsi="Arial" w:cs="Arial"/>
          <w:b/>
          <w:bCs/>
          <w:i/>
          <w:iCs/>
          <w:sz w:val="20"/>
          <w:szCs w:val="20"/>
          <w:lang w:val="es-ES_tradnl"/>
        </w:rPr>
        <w:t xml:space="preserve">conducta estatal explícita de la demandada dirigida a la aplicación de las alícuotas del impuesto sobre los ingresos brutos que la aquí actora </w:t>
      </w:r>
      <w:r w:rsidR="000B49C8" w:rsidRPr="00B92915">
        <w:rPr>
          <w:rFonts w:ascii="Arial" w:hAnsi="Arial" w:cs="Arial"/>
          <w:b/>
          <w:bCs/>
          <w:i/>
          <w:iCs/>
          <w:sz w:val="20"/>
          <w:szCs w:val="20"/>
          <w:lang w:val="es-ES_tradnl"/>
        </w:rPr>
        <w:t>cuestiona</w:t>
      </w:r>
      <w:r w:rsidR="000B49C8" w:rsidRPr="00B92915">
        <w:rPr>
          <w:rFonts w:ascii="Arial" w:hAnsi="Arial" w:cs="Arial"/>
          <w:i/>
          <w:iCs/>
          <w:sz w:val="20"/>
          <w:szCs w:val="20"/>
          <w:lang w:val="es-ES_tradnl"/>
        </w:rPr>
        <w:t>…</w:t>
      </w:r>
      <w:r w:rsidR="00440777" w:rsidRPr="00B92915">
        <w:rPr>
          <w:rFonts w:ascii="Arial" w:hAnsi="Arial" w:cs="Arial"/>
          <w:i/>
          <w:iCs/>
          <w:sz w:val="20"/>
          <w:szCs w:val="20"/>
          <w:lang w:val="es-ES_tradnl"/>
        </w:rPr>
        <w:t>En consecuencia, es dable concluir que se han reunido los recaudos exigidos por el artículo 322 del código de rito, para la procedencia formal de la acción declarativa</w:t>
      </w:r>
      <w:r w:rsidR="00440777" w:rsidRPr="00B92915">
        <w:rPr>
          <w:rFonts w:ascii="Arial" w:hAnsi="Arial" w:cs="Arial"/>
          <w:i/>
          <w:iCs/>
          <w:sz w:val="20"/>
          <w:szCs w:val="20"/>
          <w:lang w:val="es-ES_tradnl"/>
        </w:rPr>
        <w:t>”</w:t>
      </w:r>
      <w:r w:rsidR="00440777" w:rsidRPr="00B92915">
        <w:rPr>
          <w:rFonts w:ascii="Arial" w:hAnsi="Arial" w:cs="Arial"/>
          <w:sz w:val="20"/>
          <w:szCs w:val="20"/>
          <w:lang w:val="es-ES_tradnl"/>
        </w:rPr>
        <w:t>. S</w:t>
      </w:r>
      <w:r w:rsidR="00440777" w:rsidRPr="00B92915">
        <w:rPr>
          <w:rFonts w:ascii="Arial" w:hAnsi="Arial" w:cs="Arial"/>
          <w:sz w:val="20"/>
          <w:szCs w:val="20"/>
          <w:lang w:val="es-ES_tradnl"/>
        </w:rPr>
        <w:t xml:space="preserve">e decide: </w:t>
      </w:r>
      <w:r w:rsidR="00440777" w:rsidRPr="00B92915">
        <w:rPr>
          <w:rFonts w:ascii="Arial" w:hAnsi="Arial" w:cs="Arial"/>
          <w:sz w:val="20"/>
          <w:szCs w:val="20"/>
          <w:lang w:val="es-ES_tradnl"/>
        </w:rPr>
        <w:t>h</w:t>
      </w:r>
      <w:r w:rsidR="00440777" w:rsidRPr="00B92915">
        <w:rPr>
          <w:rFonts w:ascii="Arial" w:hAnsi="Arial" w:cs="Arial"/>
          <w:sz w:val="20"/>
          <w:szCs w:val="20"/>
          <w:lang w:val="es-ES_tradnl"/>
        </w:rPr>
        <w:t>acer lugar a la demanda entablada y, en consecuencia, declarar la inconstitucionalidad del artículo 22 de la ley 10.324 de la Provincia de Córdoba, como así también la de la</w:t>
      </w:r>
      <w:r w:rsidR="00DD458E" w:rsidRPr="00B92915">
        <w:rPr>
          <w:rFonts w:ascii="Arial" w:hAnsi="Arial" w:cs="Arial"/>
          <w:sz w:val="20"/>
          <w:szCs w:val="20"/>
          <w:lang w:val="es-ES_tradnl"/>
        </w:rPr>
        <w:t xml:space="preserve">s mencionadas resoluciones. </w:t>
      </w:r>
      <w:r w:rsidRPr="00B92915">
        <w:rPr>
          <w:rFonts w:ascii="Arial" w:hAnsi="Arial" w:cs="Arial"/>
          <w:b/>
          <w:bCs/>
          <w:i/>
          <w:iCs/>
          <w:sz w:val="20"/>
          <w:szCs w:val="20"/>
          <w:lang w:val="es-ES_tradnl"/>
        </w:rPr>
        <w:t>“</w:t>
      </w:r>
      <w:proofErr w:type="spellStart"/>
      <w:r w:rsidRPr="00B92915">
        <w:rPr>
          <w:rFonts w:ascii="Arial" w:hAnsi="Arial" w:cs="Arial"/>
          <w:b/>
          <w:bCs/>
          <w:i/>
          <w:iCs/>
          <w:sz w:val="20"/>
          <w:szCs w:val="20"/>
          <w:lang w:val="es-ES_tradnl"/>
        </w:rPr>
        <w:t>Ingredion</w:t>
      </w:r>
      <w:proofErr w:type="spellEnd"/>
      <w:r w:rsidRPr="00B92915">
        <w:rPr>
          <w:rFonts w:ascii="Arial" w:hAnsi="Arial" w:cs="Arial"/>
          <w:b/>
          <w:bCs/>
          <w:i/>
          <w:iCs/>
          <w:sz w:val="20"/>
          <w:szCs w:val="20"/>
          <w:lang w:val="es-ES_tradnl"/>
        </w:rPr>
        <w:t xml:space="preserve"> Argentina S.A. c/ Córdoba, Provincia de s/ acción declarativa de inconstitucionalidad</w:t>
      </w:r>
      <w:r w:rsidR="00440777" w:rsidRPr="00B92915">
        <w:rPr>
          <w:rFonts w:ascii="Arial" w:hAnsi="Arial" w:cs="Arial"/>
          <w:b/>
          <w:bCs/>
          <w:i/>
          <w:iCs/>
          <w:sz w:val="20"/>
          <w:szCs w:val="20"/>
          <w:lang w:val="es-ES_tradnl"/>
        </w:rPr>
        <w:t xml:space="preserve"> (4/10/2022)”</w:t>
      </w:r>
      <w:r w:rsidR="00440777" w:rsidRPr="00B92915">
        <w:rPr>
          <w:rFonts w:ascii="Arial" w:hAnsi="Arial" w:cs="Arial"/>
          <w:sz w:val="20"/>
          <w:szCs w:val="20"/>
          <w:lang w:val="es-ES_tradnl"/>
        </w:rPr>
        <w:t>.</w:t>
      </w:r>
    </w:p>
    <w:p w14:paraId="0B6D0949" w14:textId="24E98351" w:rsidR="000B49C8" w:rsidRPr="00B92915" w:rsidRDefault="00415812" w:rsidP="00B92915">
      <w:pPr>
        <w:pStyle w:val="Prrafodelista"/>
        <w:numPr>
          <w:ilvl w:val="0"/>
          <w:numId w:val="2"/>
        </w:numPr>
        <w:snapToGrid w:val="0"/>
        <w:spacing w:after="240" w:line="360" w:lineRule="auto"/>
        <w:ind w:left="357" w:hanging="357"/>
        <w:contextualSpacing w:val="0"/>
        <w:jc w:val="both"/>
        <w:rPr>
          <w:rFonts w:ascii="Arial" w:hAnsi="Arial" w:cs="Arial"/>
          <w:b/>
          <w:bCs/>
          <w:i/>
          <w:iCs/>
          <w:sz w:val="20"/>
          <w:szCs w:val="20"/>
          <w:lang w:val="es-ES_tradnl"/>
        </w:rPr>
      </w:pPr>
      <w:r w:rsidRPr="00B92915">
        <w:rPr>
          <w:rFonts w:ascii="Arial" w:hAnsi="Arial" w:cs="Arial"/>
          <w:b/>
          <w:bCs/>
          <w:sz w:val="20"/>
          <w:szCs w:val="20"/>
          <w:lang w:val="es-ES_tradnl"/>
        </w:rPr>
        <w:t>Impuesto sobre los Ingresos Brutos. Alícuotas Diferenciales (201</w:t>
      </w:r>
      <w:r w:rsidR="002A123E" w:rsidRPr="00B92915">
        <w:rPr>
          <w:rFonts w:ascii="Arial" w:hAnsi="Arial" w:cs="Arial"/>
          <w:b/>
          <w:bCs/>
          <w:sz w:val="20"/>
          <w:szCs w:val="20"/>
          <w:lang w:val="es-ES_tradnl"/>
        </w:rPr>
        <w:t>7</w:t>
      </w:r>
      <w:r w:rsidRPr="00B92915">
        <w:rPr>
          <w:rFonts w:ascii="Arial" w:hAnsi="Arial" w:cs="Arial"/>
          <w:b/>
          <w:bCs/>
          <w:sz w:val="20"/>
          <w:szCs w:val="20"/>
          <w:lang w:val="es-ES_tradnl"/>
        </w:rPr>
        <w:t xml:space="preserve">): </w:t>
      </w:r>
      <w:r w:rsidRPr="00B92915">
        <w:rPr>
          <w:rFonts w:ascii="Arial" w:hAnsi="Arial" w:cs="Arial"/>
          <w:sz w:val="20"/>
          <w:szCs w:val="20"/>
          <w:lang w:val="es-ES_tradnl"/>
        </w:rPr>
        <w:t xml:space="preserve">4,75% </w:t>
      </w:r>
      <w:r w:rsidRPr="00B92915">
        <w:rPr>
          <w:rFonts w:ascii="Arial" w:hAnsi="Arial" w:cs="Arial"/>
          <w:i/>
          <w:iCs/>
          <w:sz w:val="20"/>
          <w:szCs w:val="20"/>
          <w:lang w:val="es-ES_tradnl"/>
        </w:rPr>
        <w:t>versus</w:t>
      </w:r>
      <w:r w:rsidRPr="00B92915">
        <w:rPr>
          <w:rFonts w:ascii="Arial" w:hAnsi="Arial" w:cs="Arial"/>
          <w:sz w:val="20"/>
          <w:szCs w:val="20"/>
          <w:lang w:val="es-ES_tradnl"/>
        </w:rPr>
        <w:t xml:space="preserve"> 0,50% (por no poseer establecimiento en la provincia).</w:t>
      </w:r>
      <w:r w:rsidRPr="00B92915">
        <w:rPr>
          <w:rFonts w:ascii="Arial" w:hAnsi="Arial" w:cs="Arial"/>
          <w:sz w:val="20"/>
          <w:szCs w:val="20"/>
          <w:lang w:val="es-ES_tradnl"/>
        </w:rPr>
        <w:t xml:space="preserve"> Por medio del </w:t>
      </w:r>
      <w:r w:rsidR="002A123E" w:rsidRPr="00B92915">
        <w:rPr>
          <w:rFonts w:ascii="Arial" w:hAnsi="Arial" w:cs="Arial"/>
          <w:sz w:val="20"/>
          <w:szCs w:val="20"/>
          <w:lang w:val="es-ES_tradnl"/>
        </w:rPr>
        <w:t>Formulario</w:t>
      </w:r>
      <w:r w:rsidRPr="00B92915">
        <w:rPr>
          <w:rFonts w:ascii="Arial" w:hAnsi="Arial" w:cs="Arial"/>
          <w:sz w:val="20"/>
          <w:szCs w:val="20"/>
          <w:lang w:val="es-ES_tradnl"/>
        </w:rPr>
        <w:t xml:space="preserve"> de Notificaciones F-904 (14/03/2017), se </w:t>
      </w:r>
      <w:r w:rsidR="002A123E" w:rsidRPr="00B92915">
        <w:rPr>
          <w:rFonts w:ascii="Arial" w:hAnsi="Arial" w:cs="Arial"/>
          <w:sz w:val="20"/>
          <w:szCs w:val="20"/>
          <w:lang w:val="es-ES_tradnl"/>
        </w:rPr>
        <w:t xml:space="preserve">intimó a la Sociedad al pago de la diferencia de impuesto. La Corte vuelve a resaltar que la acción declarativa, en tanto responda a un caso que busque precaver los efectos de un acto en ciernes, al que se atribuye ilegitimidad y lesión al régimen federal, constituye causa en los términos de la Ley Fundamental. En el presente caso hubo una </w:t>
      </w:r>
      <w:r w:rsidR="002A123E" w:rsidRPr="00B92915">
        <w:rPr>
          <w:rFonts w:ascii="Arial" w:hAnsi="Arial" w:cs="Arial"/>
          <w:b/>
          <w:bCs/>
          <w:sz w:val="20"/>
          <w:szCs w:val="20"/>
          <w:lang w:val="es-ES_tradnl"/>
        </w:rPr>
        <w:t xml:space="preserve">conducta estatal </w:t>
      </w:r>
      <w:r w:rsidR="002A123E" w:rsidRPr="00B92915">
        <w:rPr>
          <w:rFonts w:ascii="Arial" w:hAnsi="Arial" w:cs="Arial"/>
          <w:b/>
          <w:bCs/>
          <w:sz w:val="20"/>
          <w:szCs w:val="20"/>
          <w:lang w:val="es-ES_tradnl"/>
        </w:rPr>
        <w:lastRenderedPageBreak/>
        <w:t>explicita</w:t>
      </w:r>
      <w:r w:rsidR="002A123E" w:rsidRPr="00B92915">
        <w:rPr>
          <w:rFonts w:ascii="Arial" w:hAnsi="Arial" w:cs="Arial"/>
          <w:sz w:val="20"/>
          <w:szCs w:val="20"/>
          <w:lang w:val="es-ES_tradnl"/>
        </w:rPr>
        <w:t xml:space="preserve">, por lo tanto se hace lugar a la demanda. </w:t>
      </w:r>
      <w:r w:rsidR="002A123E" w:rsidRPr="00B92915">
        <w:rPr>
          <w:rFonts w:ascii="Arial" w:hAnsi="Arial" w:cs="Arial"/>
          <w:b/>
          <w:bCs/>
          <w:i/>
          <w:iCs/>
          <w:sz w:val="20"/>
          <w:szCs w:val="20"/>
          <w:lang w:val="es-ES_tradnl"/>
        </w:rPr>
        <w:t>“</w:t>
      </w:r>
      <w:proofErr w:type="spellStart"/>
      <w:r w:rsidR="002A123E" w:rsidRPr="00B92915">
        <w:rPr>
          <w:rFonts w:ascii="Arial" w:hAnsi="Arial" w:cs="Arial"/>
          <w:b/>
          <w:bCs/>
          <w:i/>
          <w:iCs/>
          <w:sz w:val="20"/>
          <w:szCs w:val="20"/>
          <w:lang w:val="es-ES_tradnl"/>
        </w:rPr>
        <w:t>Rheem</w:t>
      </w:r>
      <w:proofErr w:type="spellEnd"/>
      <w:r w:rsidR="002A123E" w:rsidRPr="00B92915">
        <w:rPr>
          <w:rFonts w:ascii="Arial" w:hAnsi="Arial" w:cs="Arial"/>
          <w:b/>
          <w:bCs/>
          <w:i/>
          <w:iCs/>
          <w:sz w:val="20"/>
          <w:szCs w:val="20"/>
          <w:lang w:val="es-ES_tradnl"/>
        </w:rPr>
        <w:t xml:space="preserve"> S.A. c/ Córdoba, Provincia de s/ acción</w:t>
      </w:r>
      <w:r w:rsidR="002A123E" w:rsidRPr="00B92915">
        <w:rPr>
          <w:rFonts w:ascii="Arial" w:hAnsi="Arial" w:cs="Arial"/>
          <w:b/>
          <w:bCs/>
          <w:i/>
          <w:iCs/>
          <w:sz w:val="20"/>
          <w:szCs w:val="20"/>
          <w:lang w:val="es-ES_tradnl"/>
        </w:rPr>
        <w:t xml:space="preserve"> </w:t>
      </w:r>
      <w:r w:rsidR="002A123E" w:rsidRPr="00B92915">
        <w:rPr>
          <w:rFonts w:ascii="Arial" w:hAnsi="Arial" w:cs="Arial"/>
          <w:b/>
          <w:bCs/>
          <w:i/>
          <w:iCs/>
          <w:sz w:val="20"/>
          <w:szCs w:val="20"/>
          <w:lang w:val="es-ES_tradnl"/>
        </w:rPr>
        <w:t>declarativa de certeza</w:t>
      </w:r>
      <w:r w:rsidR="002A123E" w:rsidRPr="00B92915">
        <w:rPr>
          <w:rFonts w:ascii="Arial" w:hAnsi="Arial" w:cs="Arial"/>
          <w:b/>
          <w:bCs/>
          <w:i/>
          <w:iCs/>
          <w:sz w:val="20"/>
          <w:szCs w:val="20"/>
          <w:lang w:val="es-ES_tradnl"/>
        </w:rPr>
        <w:t xml:space="preserve"> (4/10/2022)”.</w:t>
      </w:r>
    </w:p>
    <w:p w14:paraId="2D5F86B4" w14:textId="6F15822F" w:rsidR="002A123E" w:rsidRPr="00B92915" w:rsidRDefault="00F67ACA" w:rsidP="00B92915">
      <w:pPr>
        <w:pStyle w:val="Prrafodelista"/>
        <w:numPr>
          <w:ilvl w:val="0"/>
          <w:numId w:val="2"/>
        </w:numPr>
        <w:snapToGrid w:val="0"/>
        <w:spacing w:after="240" w:line="360" w:lineRule="auto"/>
        <w:ind w:left="357" w:hanging="357"/>
        <w:contextualSpacing w:val="0"/>
        <w:jc w:val="both"/>
        <w:rPr>
          <w:rFonts w:ascii="Arial" w:hAnsi="Arial" w:cs="Arial"/>
          <w:sz w:val="20"/>
          <w:szCs w:val="20"/>
          <w:lang w:val="es-ES_tradnl"/>
        </w:rPr>
      </w:pPr>
      <w:r w:rsidRPr="00B92915">
        <w:rPr>
          <w:rFonts w:ascii="Arial" w:hAnsi="Arial" w:cs="Arial"/>
          <w:b/>
          <w:bCs/>
          <w:sz w:val="20"/>
          <w:szCs w:val="20"/>
          <w:lang w:val="es-ES_tradnl"/>
        </w:rPr>
        <w:t xml:space="preserve">Impuesto sobre los Ingresos Brutos. Alícuotas Diferenciales (2016): </w:t>
      </w:r>
      <w:r w:rsidRPr="00B92915">
        <w:rPr>
          <w:rFonts w:ascii="Arial" w:hAnsi="Arial" w:cs="Arial"/>
          <w:sz w:val="20"/>
          <w:szCs w:val="20"/>
          <w:lang w:val="es-ES_tradnl"/>
        </w:rPr>
        <w:t xml:space="preserve">4,75% </w:t>
      </w:r>
      <w:r w:rsidRPr="00B92915">
        <w:rPr>
          <w:rFonts w:ascii="Arial" w:hAnsi="Arial" w:cs="Arial"/>
          <w:i/>
          <w:iCs/>
          <w:sz w:val="20"/>
          <w:szCs w:val="20"/>
          <w:lang w:val="es-ES_tradnl"/>
        </w:rPr>
        <w:t>versus</w:t>
      </w:r>
      <w:r w:rsidRPr="00B92915">
        <w:rPr>
          <w:rFonts w:ascii="Arial" w:hAnsi="Arial" w:cs="Arial"/>
          <w:sz w:val="20"/>
          <w:szCs w:val="20"/>
          <w:lang w:val="es-ES_tradnl"/>
        </w:rPr>
        <w:t xml:space="preserve"> 0,50% (por no poseer establecimiento en la provincia).</w:t>
      </w:r>
      <w:r w:rsidRPr="00B92915">
        <w:rPr>
          <w:rFonts w:ascii="Arial" w:hAnsi="Arial" w:cs="Arial"/>
          <w:sz w:val="20"/>
          <w:szCs w:val="20"/>
          <w:lang w:val="es-ES_tradnl"/>
        </w:rPr>
        <w:t xml:space="preserve"> El 4/05/2016 fue intimada a que rectifique la DDJJ a la alícuota del 4,75%. </w:t>
      </w:r>
      <w:r w:rsidR="000642B3" w:rsidRPr="00B92915">
        <w:rPr>
          <w:rFonts w:ascii="Arial" w:hAnsi="Arial" w:cs="Arial"/>
          <w:i/>
          <w:iCs/>
          <w:sz w:val="20"/>
          <w:szCs w:val="20"/>
          <w:lang w:val="es-ES_tradnl"/>
        </w:rPr>
        <w:t>“…s</w:t>
      </w:r>
      <w:r w:rsidRPr="00B92915">
        <w:rPr>
          <w:rFonts w:ascii="Arial" w:hAnsi="Arial" w:cs="Arial"/>
          <w:i/>
          <w:iCs/>
          <w:sz w:val="20"/>
          <w:szCs w:val="20"/>
          <w:lang w:val="es-ES_tradnl"/>
        </w:rPr>
        <w:t xml:space="preserve">e advierte que ha </w:t>
      </w:r>
      <w:r w:rsidR="000642B3" w:rsidRPr="00B92915">
        <w:rPr>
          <w:rFonts w:ascii="Arial" w:hAnsi="Arial" w:cs="Arial"/>
          <w:i/>
          <w:iCs/>
          <w:sz w:val="20"/>
          <w:szCs w:val="20"/>
          <w:lang w:val="es-ES_tradnl"/>
        </w:rPr>
        <w:t>mediado una conducta estatal explicita de la demandada dirigida a la aplicación de la alícuota</w:t>
      </w:r>
      <w:proofErr w:type="gramStart"/>
      <w:r w:rsidR="000642B3" w:rsidRPr="00B92915">
        <w:rPr>
          <w:rFonts w:ascii="Arial" w:hAnsi="Arial" w:cs="Arial"/>
          <w:i/>
          <w:iCs/>
          <w:sz w:val="20"/>
          <w:szCs w:val="20"/>
          <w:lang w:val="es-ES_tradnl"/>
        </w:rPr>
        <w:t xml:space="preserve"> ….</w:t>
      </w:r>
      <w:proofErr w:type="gramEnd"/>
      <w:r w:rsidR="000642B3" w:rsidRPr="00B92915">
        <w:rPr>
          <w:rFonts w:ascii="Arial" w:hAnsi="Arial" w:cs="Arial"/>
          <w:i/>
          <w:iCs/>
          <w:sz w:val="20"/>
          <w:szCs w:val="20"/>
          <w:lang w:val="es-ES_tradnl"/>
        </w:rPr>
        <w:t>”</w:t>
      </w:r>
      <w:r w:rsidR="000642B3" w:rsidRPr="00B92915">
        <w:rPr>
          <w:rFonts w:ascii="Arial" w:hAnsi="Arial" w:cs="Arial"/>
          <w:sz w:val="20"/>
          <w:szCs w:val="20"/>
          <w:lang w:val="es-ES_tradnl"/>
        </w:rPr>
        <w:t xml:space="preserve">. Se hace lugar a la demanda y se declara inconstitucional el art. 22, de la Ley 10.324 y las resoluciones respectivas. </w:t>
      </w:r>
      <w:r w:rsidR="000642B3" w:rsidRPr="00B92915">
        <w:rPr>
          <w:rFonts w:ascii="Arial" w:hAnsi="Arial" w:cs="Arial"/>
          <w:b/>
          <w:bCs/>
          <w:i/>
          <w:iCs/>
          <w:sz w:val="20"/>
          <w:szCs w:val="20"/>
          <w:lang w:val="es-ES_tradnl"/>
        </w:rPr>
        <w:t>“Informática Fueguina S.A. c/ Córdoba, Provincia de s/ acción declarativa de certeza</w:t>
      </w:r>
      <w:r w:rsidR="000642B3" w:rsidRPr="00B92915">
        <w:rPr>
          <w:rFonts w:ascii="Arial" w:hAnsi="Arial" w:cs="Arial"/>
          <w:b/>
          <w:bCs/>
          <w:i/>
          <w:iCs/>
          <w:sz w:val="20"/>
          <w:szCs w:val="20"/>
          <w:lang w:val="es-ES_tradnl"/>
        </w:rPr>
        <w:t xml:space="preserve"> (4/10/2022)</w:t>
      </w:r>
      <w:r w:rsidR="000642B3" w:rsidRPr="00B92915">
        <w:rPr>
          <w:rFonts w:ascii="Arial" w:hAnsi="Arial" w:cs="Arial"/>
          <w:b/>
          <w:bCs/>
          <w:i/>
          <w:iCs/>
          <w:sz w:val="20"/>
          <w:szCs w:val="20"/>
          <w:lang w:val="es-ES_tradnl"/>
        </w:rPr>
        <w:t>”</w:t>
      </w:r>
      <w:r w:rsidR="000642B3" w:rsidRPr="00B92915">
        <w:rPr>
          <w:rFonts w:ascii="Arial" w:hAnsi="Arial" w:cs="Arial"/>
          <w:sz w:val="20"/>
          <w:szCs w:val="20"/>
          <w:lang w:val="es-ES_tradnl"/>
        </w:rPr>
        <w:t>.</w:t>
      </w:r>
    </w:p>
    <w:p w14:paraId="2730317F" w14:textId="0A47F19F" w:rsidR="000642B3" w:rsidRPr="00B92915" w:rsidRDefault="000642B3" w:rsidP="00B92915">
      <w:pPr>
        <w:pStyle w:val="Prrafodelista"/>
        <w:numPr>
          <w:ilvl w:val="0"/>
          <w:numId w:val="2"/>
        </w:numPr>
        <w:snapToGrid w:val="0"/>
        <w:spacing w:after="240" w:line="360" w:lineRule="auto"/>
        <w:ind w:left="357" w:hanging="357"/>
        <w:contextualSpacing w:val="0"/>
        <w:jc w:val="both"/>
        <w:rPr>
          <w:rFonts w:ascii="Arial" w:hAnsi="Arial" w:cs="Arial"/>
          <w:sz w:val="20"/>
          <w:szCs w:val="20"/>
          <w:lang w:val="es-ES_tradnl"/>
        </w:rPr>
      </w:pPr>
      <w:r w:rsidRPr="00B92915">
        <w:rPr>
          <w:rFonts w:ascii="Arial" w:hAnsi="Arial" w:cs="Arial"/>
          <w:b/>
          <w:bCs/>
          <w:sz w:val="20"/>
          <w:szCs w:val="20"/>
          <w:lang w:val="es-ES_tradnl"/>
        </w:rPr>
        <w:t>Impuesto sobre los Ingresos Brutos. Alícuotas Diferenciales (</w:t>
      </w:r>
      <w:r w:rsidR="004C15EB" w:rsidRPr="00B92915">
        <w:rPr>
          <w:rFonts w:ascii="Arial" w:hAnsi="Arial" w:cs="Arial"/>
          <w:b/>
          <w:bCs/>
          <w:sz w:val="20"/>
          <w:szCs w:val="20"/>
          <w:lang w:val="es-ES_tradnl"/>
        </w:rPr>
        <w:t>1/2016 a 2/2018</w:t>
      </w:r>
      <w:r w:rsidRPr="00B92915">
        <w:rPr>
          <w:rFonts w:ascii="Arial" w:hAnsi="Arial" w:cs="Arial"/>
          <w:b/>
          <w:bCs/>
          <w:sz w:val="20"/>
          <w:szCs w:val="20"/>
          <w:lang w:val="es-ES_tradnl"/>
        </w:rPr>
        <w:t>)</w:t>
      </w:r>
      <w:r w:rsidR="004C15EB" w:rsidRPr="00B92915">
        <w:rPr>
          <w:rFonts w:ascii="Arial" w:hAnsi="Arial" w:cs="Arial"/>
          <w:b/>
          <w:bCs/>
          <w:sz w:val="20"/>
          <w:szCs w:val="20"/>
          <w:lang w:val="es-ES_tradnl"/>
        </w:rPr>
        <w:t xml:space="preserve">. </w:t>
      </w:r>
      <w:r w:rsidR="004C15EB" w:rsidRPr="00B92915">
        <w:rPr>
          <w:rFonts w:ascii="Arial" w:hAnsi="Arial" w:cs="Arial"/>
          <w:sz w:val="20"/>
          <w:szCs w:val="20"/>
          <w:lang w:val="es-ES_tradnl"/>
        </w:rPr>
        <w:t xml:space="preserve">Se declara que la causa es de competencia originaria de la CSJN y se hace lugar a la medida cautelar de no innovar pedida, </w:t>
      </w:r>
      <w:r w:rsidR="004C15EB" w:rsidRPr="00B92915">
        <w:rPr>
          <w:rFonts w:ascii="Arial" w:hAnsi="Arial" w:cs="Arial"/>
          <w:sz w:val="20"/>
          <w:szCs w:val="20"/>
          <w:lang w:val="es-ES_tradnl"/>
        </w:rPr>
        <w:t xml:space="preserve">en consecuencia, </w:t>
      </w:r>
      <w:r w:rsidR="004C15EB" w:rsidRPr="00B92915">
        <w:rPr>
          <w:rFonts w:ascii="Arial" w:hAnsi="Arial" w:cs="Arial"/>
          <w:i/>
          <w:iCs/>
          <w:sz w:val="20"/>
          <w:szCs w:val="20"/>
          <w:lang w:val="es-ES_tradnl"/>
        </w:rPr>
        <w:t>“</w:t>
      </w:r>
      <w:r w:rsidR="004C15EB" w:rsidRPr="00B92915">
        <w:rPr>
          <w:rFonts w:ascii="Arial" w:hAnsi="Arial" w:cs="Arial"/>
          <w:i/>
          <w:iCs/>
          <w:sz w:val="20"/>
          <w:szCs w:val="20"/>
          <w:lang w:val="es-ES_tradnl"/>
        </w:rPr>
        <w:t>el Estado provincial deberá abstenerse de reclamar a “</w:t>
      </w:r>
      <w:proofErr w:type="spellStart"/>
      <w:r w:rsidR="004C15EB" w:rsidRPr="00B92915">
        <w:rPr>
          <w:rFonts w:ascii="Arial" w:hAnsi="Arial" w:cs="Arial"/>
          <w:i/>
          <w:iCs/>
          <w:sz w:val="20"/>
          <w:szCs w:val="20"/>
          <w:lang w:val="es-ES_tradnl"/>
        </w:rPr>
        <w:t>Dulcor</w:t>
      </w:r>
      <w:proofErr w:type="spellEnd"/>
      <w:r w:rsidR="004C15EB" w:rsidRPr="00B92915">
        <w:rPr>
          <w:rFonts w:ascii="Arial" w:hAnsi="Arial" w:cs="Arial"/>
          <w:i/>
          <w:iCs/>
          <w:sz w:val="20"/>
          <w:szCs w:val="20"/>
          <w:lang w:val="es-ES_tradnl"/>
        </w:rPr>
        <w:t xml:space="preserve"> S. A.” las diferencias pretendidas en concepto de</w:t>
      </w:r>
      <w:r w:rsidR="004C15EB" w:rsidRPr="00B92915">
        <w:rPr>
          <w:rFonts w:ascii="Arial" w:hAnsi="Arial" w:cs="Arial"/>
          <w:i/>
          <w:iCs/>
          <w:sz w:val="20"/>
          <w:szCs w:val="20"/>
          <w:lang w:val="es-ES_tradnl"/>
        </w:rPr>
        <w:t xml:space="preserve"> </w:t>
      </w:r>
      <w:r w:rsidR="004C15EB" w:rsidRPr="00B92915">
        <w:rPr>
          <w:rFonts w:ascii="Arial" w:hAnsi="Arial" w:cs="Arial"/>
          <w:i/>
          <w:iCs/>
          <w:sz w:val="20"/>
          <w:szCs w:val="20"/>
          <w:lang w:val="es-ES_tradnl"/>
        </w:rPr>
        <w:t xml:space="preserve">impuesto sobre los ingresos brutos que se desprenden de la intimación </w:t>
      </w:r>
      <w:r w:rsidR="004C15EB" w:rsidRPr="00B92915">
        <w:rPr>
          <w:rFonts w:ascii="Arial" w:hAnsi="Arial" w:cs="Arial"/>
          <w:b/>
          <w:bCs/>
          <w:i/>
          <w:iCs/>
          <w:sz w:val="20"/>
          <w:szCs w:val="20"/>
          <w:lang w:val="es-ES_tradnl"/>
        </w:rPr>
        <w:t>caso 5305/2018</w:t>
      </w:r>
      <w:r w:rsidR="004C15EB" w:rsidRPr="00B92915">
        <w:rPr>
          <w:rFonts w:ascii="Arial" w:hAnsi="Arial" w:cs="Arial"/>
          <w:i/>
          <w:iCs/>
          <w:sz w:val="20"/>
          <w:szCs w:val="20"/>
          <w:lang w:val="es-ES_tradnl"/>
        </w:rPr>
        <w:t xml:space="preserve">, efectuada el 24 de agosto de 2018 por la Administración Tributaria Mendoza </w:t>
      </w:r>
      <w:r w:rsidR="004C15EB" w:rsidRPr="00B92915">
        <w:rPr>
          <w:rFonts w:ascii="Arial" w:hAnsi="Arial" w:cs="Arial"/>
          <w:i/>
          <w:iCs/>
          <w:sz w:val="20"/>
          <w:szCs w:val="20"/>
          <w:lang w:val="es-ES_tradnl"/>
        </w:rPr>
        <w:t>….</w:t>
      </w:r>
      <w:r w:rsidR="004C15EB" w:rsidRPr="00B92915">
        <w:rPr>
          <w:rFonts w:ascii="Arial" w:hAnsi="Arial" w:cs="Arial"/>
          <w:i/>
          <w:iCs/>
          <w:sz w:val="20"/>
          <w:szCs w:val="20"/>
          <w:lang w:val="es-ES_tradnl"/>
        </w:rPr>
        <w:t xml:space="preserve"> y la multa fijada mediante la resolución 456 del 6 de diciembre de 2018, </w:t>
      </w:r>
      <w:r w:rsidR="004C15EB" w:rsidRPr="00B92915">
        <w:rPr>
          <w:rFonts w:ascii="Arial" w:hAnsi="Arial" w:cs="Arial"/>
          <w:i/>
          <w:iCs/>
          <w:sz w:val="20"/>
          <w:szCs w:val="20"/>
          <w:lang w:val="es-ES_tradnl"/>
        </w:rPr>
        <w:t>….</w:t>
      </w:r>
      <w:r w:rsidR="004C15EB" w:rsidRPr="00B92915">
        <w:rPr>
          <w:rFonts w:ascii="Arial" w:hAnsi="Arial" w:cs="Arial"/>
          <w:i/>
          <w:iCs/>
          <w:sz w:val="20"/>
          <w:szCs w:val="20"/>
          <w:lang w:val="es-ES_tradnl"/>
        </w:rPr>
        <w:t xml:space="preserve"> así como de aplicar y ejecutar multas o trabar cualquier medida cautelar administrativa o judicial sobre el patrimonio de la sociedad y de sus directores por tales </w:t>
      </w:r>
      <w:r w:rsidR="004C15EB" w:rsidRPr="00B92915">
        <w:rPr>
          <w:rFonts w:ascii="Arial" w:hAnsi="Arial" w:cs="Arial"/>
          <w:i/>
          <w:iCs/>
          <w:sz w:val="20"/>
          <w:szCs w:val="20"/>
          <w:lang w:val="es-ES_tradnl"/>
        </w:rPr>
        <w:t>conceptos…</w:t>
      </w:r>
      <w:r w:rsidR="004C15EB" w:rsidRPr="00B92915">
        <w:rPr>
          <w:rFonts w:ascii="Arial" w:hAnsi="Arial" w:cs="Arial"/>
          <w:i/>
          <w:iCs/>
          <w:sz w:val="20"/>
          <w:szCs w:val="20"/>
          <w:lang w:val="es-ES_tradnl"/>
        </w:rPr>
        <w:t>todo ello hasta tanto se dicte sentencia definitiva en estas actuaciones</w:t>
      </w:r>
      <w:r w:rsidR="004C15EB" w:rsidRPr="00B92915">
        <w:rPr>
          <w:rFonts w:ascii="Arial" w:hAnsi="Arial" w:cs="Arial"/>
          <w:i/>
          <w:iCs/>
          <w:sz w:val="20"/>
          <w:szCs w:val="20"/>
          <w:lang w:val="es-ES_tradnl"/>
        </w:rPr>
        <w:t>”</w:t>
      </w:r>
      <w:r w:rsidR="004C15EB" w:rsidRPr="00B92915">
        <w:rPr>
          <w:rFonts w:ascii="Arial" w:hAnsi="Arial" w:cs="Arial"/>
          <w:sz w:val="20"/>
          <w:szCs w:val="20"/>
          <w:lang w:val="es-ES_tradnl"/>
        </w:rPr>
        <w:t xml:space="preserve">. </w:t>
      </w:r>
      <w:r w:rsidR="004C15EB" w:rsidRPr="00B92915">
        <w:rPr>
          <w:rFonts w:ascii="Arial" w:hAnsi="Arial" w:cs="Arial"/>
          <w:b/>
          <w:bCs/>
          <w:i/>
          <w:iCs/>
          <w:sz w:val="20"/>
          <w:szCs w:val="20"/>
          <w:lang w:val="es-ES_tradnl"/>
        </w:rPr>
        <w:t>“</w:t>
      </w:r>
      <w:proofErr w:type="spellStart"/>
      <w:r w:rsidR="004C15EB" w:rsidRPr="00B92915">
        <w:rPr>
          <w:rFonts w:ascii="Arial" w:hAnsi="Arial" w:cs="Arial"/>
          <w:b/>
          <w:bCs/>
          <w:i/>
          <w:iCs/>
          <w:sz w:val="20"/>
          <w:szCs w:val="20"/>
          <w:lang w:val="es-ES_tradnl"/>
        </w:rPr>
        <w:t>Dulcor</w:t>
      </w:r>
      <w:proofErr w:type="spellEnd"/>
      <w:r w:rsidR="004C15EB" w:rsidRPr="00B92915">
        <w:rPr>
          <w:rFonts w:ascii="Arial" w:hAnsi="Arial" w:cs="Arial"/>
          <w:b/>
          <w:bCs/>
          <w:i/>
          <w:iCs/>
          <w:sz w:val="20"/>
          <w:szCs w:val="20"/>
          <w:lang w:val="es-ES_tradnl"/>
        </w:rPr>
        <w:t xml:space="preserve"> S.A. c/ Mendoza, Provincia de s/ acción</w:t>
      </w:r>
      <w:r w:rsidR="004C15EB" w:rsidRPr="00B92915">
        <w:rPr>
          <w:rFonts w:ascii="Arial" w:hAnsi="Arial" w:cs="Arial"/>
          <w:b/>
          <w:bCs/>
          <w:i/>
          <w:iCs/>
          <w:sz w:val="20"/>
          <w:szCs w:val="20"/>
          <w:lang w:val="es-ES_tradnl"/>
        </w:rPr>
        <w:t xml:space="preserve"> </w:t>
      </w:r>
      <w:r w:rsidR="004C15EB" w:rsidRPr="00B92915">
        <w:rPr>
          <w:rFonts w:ascii="Arial" w:hAnsi="Arial" w:cs="Arial"/>
          <w:b/>
          <w:bCs/>
          <w:i/>
          <w:iCs/>
          <w:sz w:val="20"/>
          <w:szCs w:val="20"/>
          <w:lang w:val="es-ES_tradnl"/>
        </w:rPr>
        <w:t>declarativa de certeza</w:t>
      </w:r>
      <w:r w:rsidR="004C15EB" w:rsidRPr="00B92915">
        <w:rPr>
          <w:rFonts w:ascii="Arial" w:hAnsi="Arial" w:cs="Arial"/>
          <w:b/>
          <w:bCs/>
          <w:i/>
          <w:iCs/>
          <w:sz w:val="20"/>
          <w:szCs w:val="20"/>
          <w:lang w:val="es-ES_tradnl"/>
        </w:rPr>
        <w:t xml:space="preserve"> (27/09/2022)”</w:t>
      </w:r>
      <w:r w:rsidR="004C15EB" w:rsidRPr="00B92915">
        <w:rPr>
          <w:rFonts w:ascii="Arial" w:hAnsi="Arial" w:cs="Arial"/>
          <w:sz w:val="20"/>
          <w:szCs w:val="20"/>
          <w:lang w:val="es-ES_tradnl"/>
        </w:rPr>
        <w:t>.</w:t>
      </w:r>
    </w:p>
    <w:p w14:paraId="050D1BF6" w14:textId="0F94B502" w:rsidR="004C15EB" w:rsidRDefault="00E36925" w:rsidP="00B92915">
      <w:pPr>
        <w:pStyle w:val="Prrafodelista"/>
        <w:numPr>
          <w:ilvl w:val="0"/>
          <w:numId w:val="2"/>
        </w:numPr>
        <w:snapToGrid w:val="0"/>
        <w:spacing w:after="240" w:line="360" w:lineRule="auto"/>
        <w:jc w:val="both"/>
        <w:rPr>
          <w:rFonts w:ascii="Arial" w:hAnsi="Arial" w:cs="Arial"/>
          <w:sz w:val="20"/>
          <w:szCs w:val="20"/>
          <w:lang w:val="es-ES_tradnl"/>
        </w:rPr>
      </w:pPr>
      <w:r w:rsidRPr="00B92915">
        <w:rPr>
          <w:rFonts w:ascii="Arial" w:hAnsi="Arial" w:cs="Arial"/>
          <w:b/>
          <w:bCs/>
          <w:sz w:val="20"/>
          <w:szCs w:val="20"/>
          <w:lang w:val="es-ES_tradnl"/>
        </w:rPr>
        <w:t>Impuesto sobre los Ingresos Brutos. Alícuotas Diferenciales (</w:t>
      </w:r>
      <w:r w:rsidRPr="00B92915">
        <w:rPr>
          <w:rFonts w:ascii="Arial" w:hAnsi="Arial" w:cs="Arial"/>
          <w:b/>
          <w:bCs/>
          <w:sz w:val="20"/>
          <w:szCs w:val="20"/>
          <w:lang w:val="es-ES_tradnl"/>
        </w:rPr>
        <w:t>11</w:t>
      </w:r>
      <w:r w:rsidRPr="00B92915">
        <w:rPr>
          <w:rFonts w:ascii="Arial" w:hAnsi="Arial" w:cs="Arial"/>
          <w:b/>
          <w:bCs/>
          <w:sz w:val="20"/>
          <w:szCs w:val="20"/>
          <w:lang w:val="es-ES_tradnl"/>
        </w:rPr>
        <w:t>/2016</w:t>
      </w:r>
      <w:r w:rsidRPr="00B92915">
        <w:rPr>
          <w:rFonts w:ascii="Arial" w:hAnsi="Arial" w:cs="Arial"/>
          <w:b/>
          <w:bCs/>
          <w:sz w:val="20"/>
          <w:szCs w:val="20"/>
          <w:lang w:val="es-ES_tradnl"/>
        </w:rPr>
        <w:t>,</w:t>
      </w:r>
      <w:r w:rsidRPr="00B92915">
        <w:rPr>
          <w:rFonts w:ascii="Arial" w:hAnsi="Arial" w:cs="Arial"/>
          <w:b/>
          <w:bCs/>
          <w:sz w:val="20"/>
          <w:szCs w:val="20"/>
          <w:lang w:val="es-ES_tradnl"/>
        </w:rPr>
        <w:t xml:space="preserve"> </w:t>
      </w:r>
      <w:r w:rsidRPr="00B92915">
        <w:rPr>
          <w:rFonts w:ascii="Arial" w:hAnsi="Arial" w:cs="Arial"/>
          <w:b/>
          <w:bCs/>
          <w:sz w:val="20"/>
          <w:szCs w:val="20"/>
          <w:lang w:val="es-ES_tradnl"/>
        </w:rPr>
        <w:t>12/</w:t>
      </w:r>
      <w:r w:rsidRPr="00B92915">
        <w:rPr>
          <w:rFonts w:ascii="Arial" w:hAnsi="Arial" w:cs="Arial"/>
          <w:b/>
          <w:bCs/>
          <w:sz w:val="20"/>
          <w:szCs w:val="20"/>
          <w:lang w:val="es-ES_tradnl"/>
        </w:rPr>
        <w:t>/201</w:t>
      </w:r>
      <w:r w:rsidRPr="00B92915">
        <w:rPr>
          <w:rFonts w:ascii="Arial" w:hAnsi="Arial" w:cs="Arial"/>
          <w:b/>
          <w:bCs/>
          <w:sz w:val="20"/>
          <w:szCs w:val="20"/>
          <w:lang w:val="es-ES_tradnl"/>
        </w:rPr>
        <w:t>6 y 1/2017 a 12/2017</w:t>
      </w:r>
      <w:r w:rsidRPr="00B92915">
        <w:rPr>
          <w:rFonts w:ascii="Arial" w:hAnsi="Arial" w:cs="Arial"/>
          <w:b/>
          <w:bCs/>
          <w:sz w:val="20"/>
          <w:szCs w:val="20"/>
          <w:lang w:val="es-ES_tradnl"/>
        </w:rPr>
        <w:t>).</w:t>
      </w:r>
      <w:r w:rsidRPr="00B92915">
        <w:rPr>
          <w:rFonts w:ascii="Arial" w:hAnsi="Arial" w:cs="Arial"/>
          <w:b/>
          <w:bCs/>
          <w:sz w:val="20"/>
          <w:szCs w:val="20"/>
          <w:lang w:val="es-ES_tradnl"/>
        </w:rPr>
        <w:t xml:space="preserve"> </w:t>
      </w:r>
      <w:r w:rsidRPr="00B92915">
        <w:rPr>
          <w:rFonts w:ascii="Arial" w:hAnsi="Arial" w:cs="Arial"/>
          <w:sz w:val="20"/>
          <w:szCs w:val="20"/>
          <w:lang w:val="es-ES_tradnl"/>
        </w:rPr>
        <w:t>Se declara que la causa es de competencia originaria de la CSJN y se hace lugar a la medida cautelar de no innovar pedida, en consecuencia</w:t>
      </w:r>
      <w:r w:rsidRPr="00B92915">
        <w:rPr>
          <w:rFonts w:ascii="Arial" w:hAnsi="Arial" w:cs="Arial"/>
          <w:sz w:val="20"/>
          <w:szCs w:val="20"/>
          <w:lang w:val="es-ES_tradnl"/>
        </w:rPr>
        <w:t xml:space="preserve"> </w:t>
      </w:r>
      <w:r w:rsidRPr="00B92915">
        <w:rPr>
          <w:rFonts w:ascii="Arial" w:hAnsi="Arial" w:cs="Arial"/>
          <w:i/>
          <w:iCs/>
          <w:sz w:val="20"/>
          <w:szCs w:val="20"/>
          <w:lang w:val="es-ES_tradnl"/>
        </w:rPr>
        <w:t>“</w:t>
      </w:r>
      <w:r w:rsidRPr="00B92915">
        <w:rPr>
          <w:rFonts w:ascii="Arial" w:hAnsi="Arial" w:cs="Arial"/>
          <w:i/>
          <w:iCs/>
          <w:sz w:val="20"/>
          <w:szCs w:val="20"/>
          <w:lang w:val="es-ES_tradnl"/>
        </w:rPr>
        <w:t xml:space="preserve">el Estado provincial deberá abstenerse de </w:t>
      </w:r>
      <w:r w:rsidRPr="00B92915">
        <w:rPr>
          <w:rFonts w:ascii="Arial" w:hAnsi="Arial" w:cs="Arial"/>
          <w:i/>
          <w:iCs/>
          <w:sz w:val="20"/>
          <w:szCs w:val="20"/>
          <w:lang w:val="es-ES_tradnl"/>
        </w:rPr>
        <w:t>reclamar…. las</w:t>
      </w:r>
      <w:r w:rsidRPr="00B92915">
        <w:rPr>
          <w:rFonts w:ascii="Arial" w:hAnsi="Arial" w:cs="Arial"/>
          <w:i/>
          <w:iCs/>
          <w:sz w:val="20"/>
          <w:szCs w:val="20"/>
          <w:lang w:val="es-ES_tradnl"/>
        </w:rPr>
        <w:t xml:space="preserve"> diferencias pretendidas en concepto de</w:t>
      </w:r>
      <w:r w:rsidRPr="00B92915">
        <w:rPr>
          <w:rFonts w:ascii="Arial" w:hAnsi="Arial" w:cs="Arial"/>
          <w:i/>
          <w:iCs/>
          <w:sz w:val="20"/>
          <w:szCs w:val="20"/>
          <w:lang w:val="es-ES_tradnl"/>
        </w:rPr>
        <w:t xml:space="preserve"> </w:t>
      </w:r>
      <w:r w:rsidRPr="00B92915">
        <w:rPr>
          <w:rFonts w:ascii="Arial" w:hAnsi="Arial" w:cs="Arial"/>
          <w:i/>
          <w:iCs/>
          <w:sz w:val="20"/>
          <w:szCs w:val="20"/>
          <w:lang w:val="es-ES_tradnl"/>
        </w:rPr>
        <w:t xml:space="preserve">impuesto sobre los ingresos brutos que se desprenden de la intimación caso 5536/2018, efectuada el 20 de noviembre de 2018 por la Administración Tributaria </w:t>
      </w:r>
      <w:r w:rsidRPr="00B92915">
        <w:rPr>
          <w:rFonts w:ascii="Arial" w:hAnsi="Arial" w:cs="Arial"/>
          <w:i/>
          <w:iCs/>
          <w:sz w:val="20"/>
          <w:szCs w:val="20"/>
          <w:lang w:val="es-ES_tradnl"/>
        </w:rPr>
        <w:t>Mendoza…</w:t>
      </w:r>
      <w:r w:rsidRPr="00B92915">
        <w:rPr>
          <w:rFonts w:ascii="Arial" w:hAnsi="Arial" w:cs="Arial"/>
          <w:i/>
          <w:iCs/>
          <w:sz w:val="20"/>
          <w:szCs w:val="20"/>
          <w:lang w:val="es-ES_tradnl"/>
        </w:rPr>
        <w:t xml:space="preserve">, de la “boleta de deuda” emitida el 30 de septiembre de 2019 </w:t>
      </w:r>
      <w:r w:rsidRPr="00B92915">
        <w:rPr>
          <w:rFonts w:ascii="Arial" w:hAnsi="Arial" w:cs="Arial"/>
          <w:i/>
          <w:iCs/>
          <w:sz w:val="20"/>
          <w:szCs w:val="20"/>
          <w:lang w:val="es-ES_tradnl"/>
        </w:rPr>
        <w:t>….</w:t>
      </w:r>
      <w:r w:rsidRPr="00B92915">
        <w:rPr>
          <w:rFonts w:ascii="Arial" w:hAnsi="Arial" w:cs="Arial"/>
          <w:i/>
          <w:iCs/>
          <w:sz w:val="20"/>
          <w:szCs w:val="20"/>
          <w:lang w:val="es-ES_tradnl"/>
        </w:rPr>
        <w:t xml:space="preserve"> y de las resoluciones 115/2019 y 55/</w:t>
      </w:r>
      <w:r w:rsidR="00D27F35" w:rsidRPr="00B92915">
        <w:rPr>
          <w:rFonts w:ascii="Arial" w:hAnsi="Arial" w:cs="Arial"/>
          <w:i/>
          <w:iCs/>
          <w:sz w:val="20"/>
          <w:szCs w:val="20"/>
          <w:lang w:val="es-ES_tradnl"/>
        </w:rPr>
        <w:t>2020…</w:t>
      </w:r>
      <w:r w:rsidRPr="00B92915">
        <w:rPr>
          <w:rFonts w:ascii="Arial" w:hAnsi="Arial" w:cs="Arial"/>
          <w:i/>
          <w:iCs/>
          <w:sz w:val="20"/>
          <w:szCs w:val="20"/>
          <w:lang w:val="es-ES_tradnl"/>
        </w:rPr>
        <w:t>, así como de aplicar y ejecutar multas o trabar cualquier medida cautelar administrativa o judicial sobre el patrimonio de la sociedad y de sus directores; todo ello hasta tanto se dicte sentencia definitiva en estas actuaciones</w:t>
      </w:r>
      <w:r w:rsidRPr="00B92915">
        <w:rPr>
          <w:rFonts w:ascii="Arial" w:hAnsi="Arial" w:cs="Arial"/>
          <w:i/>
          <w:iCs/>
          <w:sz w:val="20"/>
          <w:szCs w:val="20"/>
          <w:lang w:val="es-ES_tradnl"/>
        </w:rPr>
        <w:t>”</w:t>
      </w:r>
      <w:r w:rsidRPr="00B92915">
        <w:rPr>
          <w:rFonts w:ascii="Arial" w:hAnsi="Arial" w:cs="Arial"/>
          <w:sz w:val="20"/>
          <w:szCs w:val="20"/>
          <w:lang w:val="es-ES_tradnl"/>
        </w:rPr>
        <w:t>.</w:t>
      </w:r>
      <w:r w:rsidR="00D27F35" w:rsidRPr="00B92915">
        <w:rPr>
          <w:rFonts w:ascii="Arial" w:hAnsi="Arial" w:cs="Arial"/>
          <w:sz w:val="20"/>
          <w:szCs w:val="20"/>
          <w:lang w:val="es-ES_tradnl"/>
        </w:rPr>
        <w:t xml:space="preserve"> </w:t>
      </w:r>
      <w:r w:rsidR="00D27F35" w:rsidRPr="00B92915">
        <w:rPr>
          <w:rFonts w:ascii="Arial" w:hAnsi="Arial" w:cs="Arial"/>
          <w:b/>
          <w:bCs/>
          <w:i/>
          <w:iCs/>
          <w:sz w:val="20"/>
          <w:szCs w:val="20"/>
          <w:lang w:val="es-ES_tradnl"/>
        </w:rPr>
        <w:t>“</w:t>
      </w:r>
      <w:r w:rsidR="00D27F35" w:rsidRPr="00B92915">
        <w:rPr>
          <w:rFonts w:ascii="Arial" w:hAnsi="Arial" w:cs="Arial"/>
          <w:b/>
          <w:bCs/>
          <w:i/>
          <w:iCs/>
          <w:sz w:val="20"/>
          <w:szCs w:val="20"/>
          <w:lang w:val="es-ES_tradnl"/>
        </w:rPr>
        <w:t xml:space="preserve">Gen </w:t>
      </w:r>
      <w:proofErr w:type="spellStart"/>
      <w:r w:rsidR="00D27F35" w:rsidRPr="00B92915">
        <w:rPr>
          <w:rFonts w:ascii="Arial" w:hAnsi="Arial" w:cs="Arial"/>
          <w:b/>
          <w:bCs/>
          <w:i/>
          <w:iCs/>
          <w:sz w:val="20"/>
          <w:szCs w:val="20"/>
          <w:lang w:val="es-ES_tradnl"/>
        </w:rPr>
        <w:t>Rod</w:t>
      </w:r>
      <w:proofErr w:type="spellEnd"/>
      <w:r w:rsidR="00D27F35" w:rsidRPr="00B92915">
        <w:rPr>
          <w:rFonts w:ascii="Arial" w:hAnsi="Arial" w:cs="Arial"/>
          <w:b/>
          <w:bCs/>
          <w:i/>
          <w:iCs/>
          <w:sz w:val="20"/>
          <w:szCs w:val="20"/>
          <w:lang w:val="es-ES_tradnl"/>
        </w:rPr>
        <w:t xml:space="preserve"> S.A. c/ Mendoza, Provincia de s/acción declarativa de certeza</w:t>
      </w:r>
      <w:r w:rsidR="00D27F35" w:rsidRPr="00B92915">
        <w:rPr>
          <w:rFonts w:ascii="Arial" w:hAnsi="Arial" w:cs="Arial"/>
          <w:b/>
          <w:bCs/>
          <w:i/>
          <w:iCs/>
          <w:sz w:val="20"/>
          <w:szCs w:val="20"/>
          <w:lang w:val="es-ES_tradnl"/>
        </w:rPr>
        <w:t xml:space="preserve"> (20/09/2022)”</w:t>
      </w:r>
      <w:r w:rsidR="00D27F35" w:rsidRPr="00B92915">
        <w:rPr>
          <w:rFonts w:ascii="Arial" w:hAnsi="Arial" w:cs="Arial"/>
          <w:sz w:val="20"/>
          <w:szCs w:val="20"/>
          <w:lang w:val="es-ES_tradnl"/>
        </w:rPr>
        <w:t>.</w:t>
      </w:r>
    </w:p>
    <w:p w14:paraId="3FFE78CB" w14:textId="4BBFA330" w:rsidR="00C4235B" w:rsidRPr="0072117D" w:rsidRDefault="00C4235B" w:rsidP="00C4235B">
      <w:pPr>
        <w:snapToGrid w:val="0"/>
        <w:spacing w:after="240" w:line="360" w:lineRule="auto"/>
        <w:jc w:val="both"/>
        <w:rPr>
          <w:rFonts w:ascii="Arial" w:hAnsi="Arial" w:cs="Arial"/>
          <w:b/>
          <w:bCs/>
          <w:sz w:val="20"/>
          <w:szCs w:val="20"/>
          <w:u w:val="single"/>
          <w:lang w:val="es-ES_tradnl"/>
        </w:rPr>
      </w:pPr>
      <w:r w:rsidRPr="0072117D">
        <w:rPr>
          <w:rFonts w:ascii="Arial" w:hAnsi="Arial" w:cs="Arial"/>
          <w:b/>
          <w:bCs/>
          <w:sz w:val="20"/>
          <w:szCs w:val="20"/>
          <w:u w:val="single"/>
          <w:lang w:val="es-ES_tradnl"/>
        </w:rPr>
        <w:t>PROCURACIÓN GENERAL DE LA NACIÓN</w:t>
      </w:r>
    </w:p>
    <w:p w14:paraId="00328977" w14:textId="2EB874DB" w:rsidR="004C15EB" w:rsidRDefault="00C4235B" w:rsidP="0072117D">
      <w:pPr>
        <w:pStyle w:val="Prrafodelista"/>
        <w:numPr>
          <w:ilvl w:val="0"/>
          <w:numId w:val="3"/>
        </w:numPr>
        <w:snapToGrid w:val="0"/>
        <w:spacing w:after="240" w:line="360" w:lineRule="auto"/>
        <w:jc w:val="both"/>
        <w:rPr>
          <w:rFonts w:ascii="Arial" w:hAnsi="Arial" w:cs="Arial"/>
          <w:sz w:val="20"/>
          <w:szCs w:val="20"/>
          <w:lang w:val="es-ES_tradnl"/>
        </w:rPr>
      </w:pPr>
      <w:r w:rsidRPr="0072117D">
        <w:rPr>
          <w:rFonts w:ascii="Arial" w:hAnsi="Arial" w:cs="Arial"/>
          <w:b/>
          <w:bCs/>
          <w:sz w:val="20"/>
          <w:szCs w:val="20"/>
          <w:lang w:val="es-ES_tradnl"/>
        </w:rPr>
        <w:t xml:space="preserve">Regímenes de Recaudación de Ingresos Brutos. </w:t>
      </w:r>
      <w:r w:rsidR="005429AE">
        <w:rPr>
          <w:rFonts w:ascii="Arial" w:hAnsi="Arial" w:cs="Arial"/>
          <w:b/>
          <w:bCs/>
          <w:sz w:val="20"/>
          <w:szCs w:val="20"/>
          <w:lang w:val="es-ES_tradnl"/>
        </w:rPr>
        <w:t xml:space="preserve">Régimen especial de </w:t>
      </w:r>
      <w:r w:rsidR="005429AE" w:rsidRPr="005429AE">
        <w:rPr>
          <w:rFonts w:ascii="Arial" w:hAnsi="Arial" w:cs="Arial"/>
          <w:b/>
          <w:bCs/>
          <w:sz w:val="20"/>
          <w:szCs w:val="20"/>
          <w:lang w:val="es-ES_tradnl"/>
        </w:rPr>
        <w:t xml:space="preserve">Tarjetas de compra y de </w:t>
      </w:r>
      <w:r w:rsidR="005429AE">
        <w:rPr>
          <w:rFonts w:ascii="Arial" w:hAnsi="Arial" w:cs="Arial"/>
          <w:b/>
          <w:bCs/>
          <w:sz w:val="20"/>
          <w:szCs w:val="20"/>
          <w:lang w:val="es-ES_tradnl"/>
        </w:rPr>
        <w:t>C</w:t>
      </w:r>
      <w:r w:rsidR="005429AE" w:rsidRPr="005429AE">
        <w:rPr>
          <w:rFonts w:ascii="Arial" w:hAnsi="Arial" w:cs="Arial"/>
          <w:b/>
          <w:bCs/>
          <w:sz w:val="20"/>
          <w:szCs w:val="20"/>
          <w:lang w:val="es-ES_tradnl"/>
        </w:rPr>
        <w:t>rédito</w:t>
      </w:r>
      <w:r w:rsidR="005429AE">
        <w:rPr>
          <w:rFonts w:ascii="Arial" w:hAnsi="Arial" w:cs="Arial"/>
          <w:b/>
          <w:bCs/>
          <w:sz w:val="20"/>
          <w:szCs w:val="20"/>
          <w:lang w:val="es-ES_tradnl"/>
        </w:rPr>
        <w:t>.</w:t>
      </w:r>
      <w:r w:rsidR="005429AE" w:rsidRPr="005429AE">
        <w:rPr>
          <w:rFonts w:ascii="Arial" w:hAnsi="Arial" w:cs="Arial"/>
          <w:b/>
          <w:bCs/>
          <w:sz w:val="20"/>
          <w:szCs w:val="20"/>
          <w:lang w:val="es-ES_tradnl"/>
        </w:rPr>
        <w:t xml:space="preserve"> </w:t>
      </w:r>
      <w:r w:rsidRPr="0072117D">
        <w:rPr>
          <w:rFonts w:ascii="Arial" w:hAnsi="Arial" w:cs="Arial"/>
          <w:b/>
          <w:bCs/>
          <w:sz w:val="20"/>
          <w:szCs w:val="20"/>
          <w:lang w:val="es-ES_tradnl"/>
        </w:rPr>
        <w:t>Bancos</w:t>
      </w:r>
      <w:r w:rsidRPr="0072117D">
        <w:rPr>
          <w:rFonts w:ascii="Arial" w:hAnsi="Arial" w:cs="Arial"/>
          <w:b/>
          <w:bCs/>
          <w:sz w:val="20"/>
          <w:szCs w:val="20"/>
          <w:lang w:val="es-ES_tradnl"/>
        </w:rPr>
        <w:t>.</w:t>
      </w:r>
      <w:r w:rsidRPr="0072117D">
        <w:rPr>
          <w:rFonts w:ascii="Arial" w:hAnsi="Arial" w:cs="Arial"/>
          <w:sz w:val="20"/>
          <w:szCs w:val="20"/>
          <w:lang w:val="es-ES_tradnl"/>
        </w:rPr>
        <w:t xml:space="preserve"> </w:t>
      </w:r>
      <w:r w:rsidRPr="0072117D">
        <w:rPr>
          <w:rFonts w:ascii="Arial" w:hAnsi="Arial" w:cs="Arial"/>
          <w:sz w:val="20"/>
          <w:szCs w:val="20"/>
          <w:lang w:val="es-ES_tradnl"/>
        </w:rPr>
        <w:t>Se entabla una a</w:t>
      </w:r>
      <w:r w:rsidRPr="0072117D">
        <w:rPr>
          <w:rFonts w:ascii="Arial" w:hAnsi="Arial" w:cs="Arial"/>
          <w:sz w:val="20"/>
          <w:szCs w:val="20"/>
          <w:lang w:val="es-ES_tradnl"/>
        </w:rPr>
        <w:t>cción</w:t>
      </w:r>
      <w:r w:rsidRPr="0072117D">
        <w:rPr>
          <w:rFonts w:ascii="Arial" w:hAnsi="Arial" w:cs="Arial"/>
          <w:sz w:val="20"/>
          <w:szCs w:val="20"/>
          <w:lang w:val="es-ES_tradnl"/>
        </w:rPr>
        <w:t xml:space="preserve"> </w:t>
      </w:r>
      <w:r w:rsidRPr="0072117D">
        <w:rPr>
          <w:rFonts w:ascii="Arial" w:hAnsi="Arial" w:cs="Arial"/>
          <w:sz w:val="20"/>
          <w:szCs w:val="20"/>
          <w:lang w:val="es-ES_tradnl"/>
        </w:rPr>
        <w:t>declarativa a fin</w:t>
      </w:r>
      <w:r w:rsidRPr="0072117D">
        <w:rPr>
          <w:rFonts w:ascii="Arial" w:hAnsi="Arial" w:cs="Arial"/>
          <w:sz w:val="20"/>
          <w:szCs w:val="20"/>
          <w:lang w:val="es-ES_tradnl"/>
        </w:rPr>
        <w:t xml:space="preserve"> </w:t>
      </w:r>
      <w:r w:rsidRPr="0072117D">
        <w:rPr>
          <w:rFonts w:ascii="Arial" w:hAnsi="Arial" w:cs="Arial"/>
          <w:sz w:val="20"/>
          <w:szCs w:val="20"/>
          <w:lang w:val="es-ES_tradnl"/>
        </w:rPr>
        <w:t>de hacer cesar el estado de incertidumbre y de que se declare la</w:t>
      </w:r>
      <w:r w:rsidRPr="0072117D">
        <w:rPr>
          <w:rFonts w:ascii="Arial" w:hAnsi="Arial" w:cs="Arial"/>
          <w:sz w:val="20"/>
          <w:szCs w:val="20"/>
          <w:lang w:val="es-ES_tradnl"/>
        </w:rPr>
        <w:t xml:space="preserve"> </w:t>
      </w:r>
      <w:r w:rsidRPr="0072117D">
        <w:rPr>
          <w:rFonts w:ascii="Arial" w:hAnsi="Arial" w:cs="Arial"/>
          <w:sz w:val="20"/>
          <w:szCs w:val="20"/>
          <w:lang w:val="es-ES_tradnl"/>
        </w:rPr>
        <w:t>inconstitucionalidad del artículo 94 del Código Fiscal</w:t>
      </w:r>
      <w:r w:rsidRPr="0072117D">
        <w:rPr>
          <w:rFonts w:ascii="Arial" w:hAnsi="Arial" w:cs="Arial"/>
          <w:sz w:val="20"/>
          <w:szCs w:val="20"/>
          <w:lang w:val="es-ES_tradnl"/>
        </w:rPr>
        <w:t xml:space="preserve"> </w:t>
      </w:r>
      <w:r w:rsidR="007311E4">
        <w:rPr>
          <w:rFonts w:ascii="Arial" w:hAnsi="Arial" w:cs="Arial"/>
          <w:sz w:val="20"/>
          <w:szCs w:val="20"/>
          <w:lang w:val="es-ES_tradnl"/>
        </w:rPr>
        <w:t xml:space="preserve">y </w:t>
      </w:r>
      <w:r w:rsidRPr="0072117D">
        <w:rPr>
          <w:rFonts w:ascii="Arial" w:hAnsi="Arial" w:cs="Arial"/>
          <w:sz w:val="20"/>
          <w:szCs w:val="20"/>
          <w:lang w:val="es-ES_tradnl"/>
        </w:rPr>
        <w:t>de los artículos 437, 439 y concordantes de la</w:t>
      </w:r>
      <w:r w:rsidRPr="0072117D">
        <w:rPr>
          <w:rFonts w:ascii="Arial" w:hAnsi="Arial" w:cs="Arial"/>
          <w:sz w:val="20"/>
          <w:szCs w:val="20"/>
          <w:lang w:val="es-ES_tradnl"/>
        </w:rPr>
        <w:t xml:space="preserve"> </w:t>
      </w:r>
      <w:r w:rsidRPr="0072117D">
        <w:rPr>
          <w:rFonts w:ascii="Arial" w:hAnsi="Arial" w:cs="Arial"/>
          <w:sz w:val="20"/>
          <w:szCs w:val="20"/>
          <w:lang w:val="es-ES_tradnl"/>
        </w:rPr>
        <w:t>disposición de la ARBA serie “B” 1/2004</w:t>
      </w:r>
      <w:r w:rsidRPr="0072117D">
        <w:rPr>
          <w:rFonts w:ascii="Arial" w:hAnsi="Arial" w:cs="Arial"/>
          <w:sz w:val="20"/>
          <w:szCs w:val="20"/>
          <w:lang w:val="es-ES_tradnl"/>
        </w:rPr>
        <w:t xml:space="preserve">. Según la demandante, el hecho de que ARBA </w:t>
      </w:r>
      <w:r w:rsidRPr="0072117D">
        <w:rPr>
          <w:rFonts w:ascii="Arial" w:hAnsi="Arial" w:cs="Arial"/>
          <w:sz w:val="20"/>
          <w:szCs w:val="20"/>
          <w:lang w:val="es-ES_tradnl"/>
        </w:rPr>
        <w:t>se</w:t>
      </w:r>
      <w:r w:rsidRPr="0072117D">
        <w:rPr>
          <w:rFonts w:ascii="Arial" w:hAnsi="Arial" w:cs="Arial"/>
          <w:sz w:val="20"/>
          <w:szCs w:val="20"/>
          <w:lang w:val="es-ES_tradnl"/>
        </w:rPr>
        <w:t xml:space="preserve"> pretenda aplicar el </w:t>
      </w:r>
      <w:r w:rsidRPr="007311E4">
        <w:rPr>
          <w:rFonts w:ascii="Arial" w:hAnsi="Arial" w:cs="Arial"/>
          <w:b/>
          <w:bCs/>
          <w:sz w:val="20"/>
          <w:szCs w:val="20"/>
          <w:lang w:val="es-ES_tradnl"/>
        </w:rPr>
        <w:t>padrón</w:t>
      </w:r>
      <w:r w:rsidR="007311E4">
        <w:rPr>
          <w:rFonts w:ascii="Arial" w:hAnsi="Arial" w:cs="Arial"/>
          <w:sz w:val="20"/>
          <w:szCs w:val="20"/>
          <w:lang w:val="es-ES_tradnl"/>
        </w:rPr>
        <w:t xml:space="preserve">, </w:t>
      </w:r>
      <w:r w:rsidRPr="0072117D">
        <w:rPr>
          <w:rFonts w:ascii="Arial" w:hAnsi="Arial" w:cs="Arial"/>
          <w:sz w:val="20"/>
          <w:szCs w:val="20"/>
          <w:lang w:val="es-ES_tradnl"/>
        </w:rPr>
        <w:t xml:space="preserve">independientemente de que </w:t>
      </w:r>
      <w:r w:rsidRPr="0072117D">
        <w:rPr>
          <w:rFonts w:ascii="Arial" w:hAnsi="Arial" w:cs="Arial"/>
          <w:sz w:val="20"/>
          <w:szCs w:val="20"/>
          <w:lang w:val="es-ES_tradnl"/>
        </w:rPr>
        <w:lastRenderedPageBreak/>
        <w:t xml:space="preserve">la operación de la que se deriva </w:t>
      </w:r>
      <w:r w:rsidRPr="0072117D">
        <w:rPr>
          <w:rFonts w:ascii="Arial" w:hAnsi="Arial" w:cs="Arial"/>
          <w:sz w:val="20"/>
          <w:szCs w:val="20"/>
          <w:lang w:val="es-ES_tradnl"/>
        </w:rPr>
        <w:t xml:space="preserve">la acreditación objeto de retención </w:t>
      </w:r>
      <w:r w:rsidRPr="0072117D">
        <w:rPr>
          <w:rFonts w:ascii="Arial" w:hAnsi="Arial" w:cs="Arial"/>
          <w:sz w:val="20"/>
          <w:szCs w:val="20"/>
          <w:lang w:val="es-ES_tradnl"/>
        </w:rPr>
        <w:t>haya tenido lugar fuera del ámbito territorial de</w:t>
      </w:r>
      <w:r w:rsidRPr="0072117D">
        <w:rPr>
          <w:rFonts w:ascii="Arial" w:hAnsi="Arial" w:cs="Arial"/>
          <w:sz w:val="20"/>
          <w:szCs w:val="20"/>
          <w:lang w:val="es-ES_tradnl"/>
        </w:rPr>
        <w:t xml:space="preserve"> </w:t>
      </w:r>
      <w:r w:rsidRPr="0072117D">
        <w:rPr>
          <w:rFonts w:ascii="Arial" w:hAnsi="Arial" w:cs="Arial"/>
          <w:sz w:val="20"/>
          <w:szCs w:val="20"/>
          <w:lang w:val="es-ES_tradnl"/>
        </w:rPr>
        <w:t>esa provincia</w:t>
      </w:r>
      <w:r w:rsidRPr="0072117D">
        <w:rPr>
          <w:rFonts w:ascii="Arial" w:hAnsi="Arial" w:cs="Arial"/>
          <w:sz w:val="20"/>
          <w:szCs w:val="20"/>
          <w:lang w:val="es-ES_tradnl"/>
        </w:rPr>
        <w:t xml:space="preserve">, conculca los </w:t>
      </w:r>
      <w:r w:rsidRPr="0072117D">
        <w:rPr>
          <w:rFonts w:ascii="Arial" w:hAnsi="Arial" w:cs="Arial"/>
          <w:sz w:val="20"/>
          <w:szCs w:val="20"/>
          <w:lang w:val="es-ES_tradnl"/>
        </w:rPr>
        <w:t>arts. 1, 5 7,</w:t>
      </w:r>
      <w:r w:rsidRPr="0072117D">
        <w:rPr>
          <w:rFonts w:ascii="Arial" w:hAnsi="Arial" w:cs="Arial"/>
          <w:sz w:val="20"/>
          <w:szCs w:val="20"/>
          <w:lang w:val="es-ES_tradnl"/>
        </w:rPr>
        <w:t xml:space="preserve"> </w:t>
      </w:r>
      <w:r w:rsidRPr="0072117D">
        <w:rPr>
          <w:rFonts w:ascii="Arial" w:hAnsi="Arial" w:cs="Arial"/>
          <w:sz w:val="20"/>
          <w:szCs w:val="20"/>
          <w:lang w:val="es-ES_tradnl"/>
        </w:rPr>
        <w:t>9, 31, 75, 121, 123 y 126</w:t>
      </w:r>
      <w:r w:rsidRPr="0072117D">
        <w:rPr>
          <w:rFonts w:ascii="Arial" w:hAnsi="Arial" w:cs="Arial"/>
          <w:sz w:val="20"/>
          <w:szCs w:val="20"/>
          <w:lang w:val="es-ES_tradnl"/>
        </w:rPr>
        <w:t xml:space="preserve"> de la CN y </w:t>
      </w:r>
      <w:r w:rsidRPr="0072117D">
        <w:rPr>
          <w:rFonts w:ascii="Arial" w:hAnsi="Arial" w:cs="Arial"/>
          <w:sz w:val="20"/>
          <w:szCs w:val="20"/>
          <w:lang w:val="es-ES_tradnl"/>
        </w:rPr>
        <w:t>en especial, los límites</w:t>
      </w:r>
      <w:r w:rsidRPr="0072117D">
        <w:rPr>
          <w:rFonts w:ascii="Arial" w:hAnsi="Arial" w:cs="Arial"/>
          <w:sz w:val="20"/>
          <w:szCs w:val="20"/>
          <w:lang w:val="es-ES_tradnl"/>
        </w:rPr>
        <w:t xml:space="preserve"> </w:t>
      </w:r>
      <w:r w:rsidRPr="0072117D">
        <w:rPr>
          <w:rFonts w:ascii="Arial" w:hAnsi="Arial" w:cs="Arial"/>
          <w:sz w:val="20"/>
          <w:szCs w:val="20"/>
          <w:lang w:val="es-ES_tradnl"/>
        </w:rPr>
        <w:t>territoriales que rigen el poder tributario provincial, al mismo</w:t>
      </w:r>
      <w:r w:rsidRPr="0072117D">
        <w:rPr>
          <w:rFonts w:ascii="Arial" w:hAnsi="Arial" w:cs="Arial"/>
          <w:sz w:val="20"/>
          <w:szCs w:val="20"/>
          <w:lang w:val="es-ES_tradnl"/>
        </w:rPr>
        <w:t xml:space="preserve"> </w:t>
      </w:r>
      <w:r w:rsidRPr="0072117D">
        <w:rPr>
          <w:rFonts w:ascii="Arial" w:hAnsi="Arial" w:cs="Arial"/>
          <w:sz w:val="20"/>
          <w:szCs w:val="20"/>
          <w:lang w:val="es-ES_tradnl"/>
        </w:rPr>
        <w:t>tiempo que implica una invasión de facultades privativas y</w:t>
      </w:r>
      <w:r w:rsidRPr="0072117D">
        <w:rPr>
          <w:rFonts w:ascii="Arial" w:hAnsi="Arial" w:cs="Arial"/>
          <w:sz w:val="20"/>
          <w:szCs w:val="20"/>
          <w:lang w:val="es-ES_tradnl"/>
        </w:rPr>
        <w:t xml:space="preserve"> </w:t>
      </w:r>
      <w:r w:rsidRPr="0072117D">
        <w:rPr>
          <w:rFonts w:ascii="Arial" w:hAnsi="Arial" w:cs="Arial"/>
          <w:sz w:val="20"/>
          <w:szCs w:val="20"/>
          <w:lang w:val="es-ES_tradnl"/>
        </w:rPr>
        <w:t xml:space="preserve">excluyentes del </w:t>
      </w:r>
      <w:r w:rsidR="007311E4">
        <w:rPr>
          <w:rFonts w:ascii="Arial" w:hAnsi="Arial" w:cs="Arial"/>
          <w:sz w:val="20"/>
          <w:szCs w:val="20"/>
          <w:lang w:val="es-ES_tradnl"/>
        </w:rPr>
        <w:t>BCRA</w:t>
      </w:r>
      <w:r w:rsidRPr="0072117D">
        <w:rPr>
          <w:rFonts w:ascii="Arial" w:hAnsi="Arial" w:cs="Arial"/>
          <w:sz w:val="20"/>
          <w:szCs w:val="20"/>
          <w:lang w:val="es-ES_tradnl"/>
        </w:rPr>
        <w:t>. La Procuradora, dictamina que “</w:t>
      </w:r>
      <w:r w:rsidRPr="0072117D">
        <w:rPr>
          <w:rFonts w:ascii="Arial" w:hAnsi="Arial" w:cs="Arial"/>
          <w:sz w:val="20"/>
          <w:szCs w:val="20"/>
          <w:lang w:val="es-ES_tradnl"/>
        </w:rPr>
        <w:t>al ser parte una</w:t>
      </w:r>
      <w:r w:rsidRPr="0072117D">
        <w:rPr>
          <w:rFonts w:ascii="Arial" w:hAnsi="Arial" w:cs="Arial"/>
          <w:sz w:val="20"/>
          <w:szCs w:val="20"/>
          <w:lang w:val="es-ES_tradnl"/>
        </w:rPr>
        <w:t xml:space="preserve"> </w:t>
      </w:r>
      <w:r w:rsidRPr="0072117D">
        <w:rPr>
          <w:rFonts w:ascii="Arial" w:hAnsi="Arial" w:cs="Arial"/>
          <w:sz w:val="20"/>
          <w:szCs w:val="20"/>
          <w:lang w:val="es-ES_tradnl"/>
        </w:rPr>
        <w:t>provincia en un pleito de manifiesto contenido federal,</w:t>
      </w:r>
      <w:r w:rsidRPr="0072117D">
        <w:rPr>
          <w:rFonts w:ascii="Arial" w:hAnsi="Arial" w:cs="Arial"/>
          <w:sz w:val="20"/>
          <w:szCs w:val="20"/>
          <w:lang w:val="es-ES_tradnl"/>
        </w:rPr>
        <w:t xml:space="preserve"> </w:t>
      </w:r>
      <w:r w:rsidRPr="0072117D">
        <w:rPr>
          <w:rFonts w:ascii="Arial" w:hAnsi="Arial" w:cs="Arial"/>
          <w:sz w:val="20"/>
          <w:szCs w:val="20"/>
          <w:lang w:val="es-ES_tradnl"/>
        </w:rPr>
        <w:t>cualquiera que sea la vecindad o nacionalidad de las actoras</w:t>
      </w:r>
      <w:r w:rsidRPr="0072117D">
        <w:rPr>
          <w:rFonts w:ascii="Arial" w:hAnsi="Arial" w:cs="Arial"/>
          <w:sz w:val="20"/>
          <w:szCs w:val="20"/>
          <w:lang w:val="es-ES_tradnl"/>
        </w:rPr>
        <w:t xml:space="preserve"> </w:t>
      </w:r>
      <w:r w:rsidRPr="0072117D">
        <w:rPr>
          <w:rFonts w:ascii="Arial" w:hAnsi="Arial" w:cs="Arial"/>
          <w:sz w:val="20"/>
          <w:szCs w:val="20"/>
          <w:lang w:val="es-ES_tradnl"/>
        </w:rPr>
        <w:t>el proceso</w:t>
      </w:r>
      <w:r w:rsidRPr="0072117D">
        <w:rPr>
          <w:rFonts w:ascii="Arial" w:hAnsi="Arial" w:cs="Arial"/>
          <w:sz w:val="20"/>
          <w:szCs w:val="20"/>
          <w:lang w:val="es-ES_tradnl"/>
        </w:rPr>
        <w:t xml:space="preserve"> </w:t>
      </w:r>
      <w:r w:rsidRPr="0072117D">
        <w:rPr>
          <w:rFonts w:ascii="Arial" w:hAnsi="Arial" w:cs="Arial"/>
          <w:sz w:val="20"/>
          <w:szCs w:val="20"/>
          <w:lang w:val="es-ES_tradnl"/>
        </w:rPr>
        <w:t>corresponde a la competencia originaria del Tribunal</w:t>
      </w:r>
      <w:r w:rsidRPr="0072117D">
        <w:rPr>
          <w:rFonts w:ascii="Arial" w:hAnsi="Arial" w:cs="Arial"/>
          <w:sz w:val="20"/>
          <w:szCs w:val="20"/>
          <w:lang w:val="es-ES_tradnl"/>
        </w:rPr>
        <w:t>”</w:t>
      </w:r>
      <w:r w:rsidR="0072117D" w:rsidRPr="0072117D">
        <w:rPr>
          <w:rFonts w:ascii="Arial" w:hAnsi="Arial" w:cs="Arial"/>
          <w:sz w:val="20"/>
          <w:szCs w:val="20"/>
          <w:lang w:val="es-ES_tradnl"/>
        </w:rPr>
        <w:t xml:space="preserve">. </w:t>
      </w:r>
      <w:r w:rsidR="0072117D" w:rsidRPr="0072117D">
        <w:rPr>
          <w:rFonts w:ascii="Arial" w:hAnsi="Arial" w:cs="Arial"/>
          <w:b/>
          <w:bCs/>
          <w:i/>
          <w:iCs/>
          <w:sz w:val="20"/>
          <w:szCs w:val="20"/>
          <w:lang w:val="es-ES_tradnl"/>
        </w:rPr>
        <w:t>“</w:t>
      </w:r>
      <w:r w:rsidR="0072117D" w:rsidRPr="0072117D">
        <w:rPr>
          <w:rFonts w:ascii="Arial" w:hAnsi="Arial" w:cs="Arial"/>
          <w:b/>
          <w:bCs/>
          <w:i/>
          <w:iCs/>
          <w:sz w:val="20"/>
          <w:szCs w:val="20"/>
          <w:lang w:val="es-ES_tradnl"/>
        </w:rPr>
        <w:t>ASOCIACION DE BANCOS DE LA ARGENTINA Y OTROS C/ BUENOS AIRES,</w:t>
      </w:r>
      <w:r w:rsidR="0072117D" w:rsidRPr="0072117D">
        <w:rPr>
          <w:rFonts w:ascii="Arial" w:hAnsi="Arial" w:cs="Arial"/>
          <w:b/>
          <w:bCs/>
          <w:i/>
          <w:iCs/>
          <w:sz w:val="20"/>
          <w:szCs w:val="20"/>
          <w:lang w:val="es-ES_tradnl"/>
        </w:rPr>
        <w:t xml:space="preserve"> </w:t>
      </w:r>
      <w:r w:rsidR="0072117D" w:rsidRPr="0072117D">
        <w:rPr>
          <w:rFonts w:ascii="Arial" w:hAnsi="Arial" w:cs="Arial"/>
          <w:b/>
          <w:bCs/>
          <w:i/>
          <w:iCs/>
          <w:sz w:val="20"/>
          <w:szCs w:val="20"/>
          <w:lang w:val="es-ES_tradnl"/>
        </w:rPr>
        <w:t>PROVINCIA DE s/ acción declarativa de certeza</w:t>
      </w:r>
      <w:r w:rsidR="0072117D" w:rsidRPr="0072117D">
        <w:rPr>
          <w:rFonts w:ascii="Arial" w:hAnsi="Arial" w:cs="Arial"/>
          <w:b/>
          <w:bCs/>
          <w:i/>
          <w:iCs/>
          <w:sz w:val="20"/>
          <w:szCs w:val="20"/>
          <w:lang w:val="es-ES_tradnl"/>
        </w:rPr>
        <w:t xml:space="preserve"> (10/2022)”</w:t>
      </w:r>
      <w:r w:rsidR="0072117D">
        <w:rPr>
          <w:rFonts w:ascii="Arial" w:hAnsi="Arial" w:cs="Arial"/>
          <w:sz w:val="20"/>
          <w:szCs w:val="20"/>
          <w:lang w:val="es-ES_tradnl"/>
        </w:rPr>
        <w:t>.</w:t>
      </w:r>
    </w:p>
    <w:p w14:paraId="5AC2A1F1" w14:textId="731282B8" w:rsidR="002C2C5E" w:rsidRPr="002C2C5E" w:rsidRDefault="002C2C5E" w:rsidP="002C2C5E">
      <w:pPr>
        <w:snapToGrid w:val="0"/>
        <w:spacing w:after="240" w:line="360" w:lineRule="auto"/>
        <w:jc w:val="both"/>
        <w:rPr>
          <w:rFonts w:ascii="Arial" w:hAnsi="Arial" w:cs="Arial"/>
          <w:b/>
          <w:bCs/>
          <w:sz w:val="20"/>
          <w:szCs w:val="20"/>
          <w:u w:val="single"/>
          <w:lang w:val="es-ES_tradnl"/>
        </w:rPr>
      </w:pPr>
      <w:r w:rsidRPr="002C2C5E">
        <w:rPr>
          <w:rFonts w:ascii="Arial" w:hAnsi="Arial" w:cs="Arial"/>
          <w:b/>
          <w:bCs/>
          <w:sz w:val="20"/>
          <w:szCs w:val="20"/>
          <w:u w:val="single"/>
          <w:lang w:val="es-ES_tradnl"/>
        </w:rPr>
        <w:t>SUPREMA CORTE DE JUSTICIA DE LA PROVINCIA DE BUENOS AIRES.</w:t>
      </w:r>
    </w:p>
    <w:p w14:paraId="46615A92" w14:textId="0B942238" w:rsidR="002C2C5E" w:rsidRPr="002C2C5E" w:rsidRDefault="002C2C5E" w:rsidP="002C2C5E">
      <w:pPr>
        <w:pStyle w:val="Prrafodelista"/>
        <w:numPr>
          <w:ilvl w:val="0"/>
          <w:numId w:val="3"/>
        </w:numPr>
        <w:snapToGrid w:val="0"/>
        <w:spacing w:after="240" w:line="360" w:lineRule="auto"/>
        <w:jc w:val="both"/>
        <w:rPr>
          <w:rFonts w:ascii="Arial" w:hAnsi="Arial" w:cs="Arial"/>
          <w:sz w:val="20"/>
          <w:szCs w:val="20"/>
          <w:lang w:val="es-ES_tradnl"/>
        </w:rPr>
      </w:pPr>
      <w:r w:rsidRPr="002C2C5E">
        <w:rPr>
          <w:rFonts w:ascii="Arial" w:hAnsi="Arial" w:cs="Arial"/>
          <w:b/>
          <w:bCs/>
          <w:sz w:val="20"/>
          <w:szCs w:val="20"/>
          <w:lang w:val="es-ES_tradnl"/>
        </w:rPr>
        <w:t>Impuesto sobre los Ingresos Brutos. Gravabilidad de las actividades onerosas (no lucrativas).</w:t>
      </w:r>
      <w:r w:rsidRPr="002C2C5E">
        <w:rPr>
          <w:rFonts w:ascii="Arial" w:hAnsi="Arial" w:cs="Arial"/>
          <w:sz w:val="20"/>
          <w:szCs w:val="20"/>
          <w:lang w:val="es-ES_tradnl"/>
        </w:rPr>
        <w:t xml:space="preserve"> </w:t>
      </w:r>
      <w:r w:rsidRPr="002C2C5E">
        <w:rPr>
          <w:rFonts w:ascii="Arial" w:hAnsi="Arial" w:cs="Arial"/>
          <w:b/>
          <w:bCs/>
          <w:i/>
          <w:iCs/>
          <w:sz w:val="20"/>
          <w:szCs w:val="20"/>
          <w:lang w:val="es-ES_tradnl"/>
        </w:rPr>
        <w:t>“Asociación Vecinal Puertos del Lago S.A. c/Tribunal Fiscal de Apelación s/Pretensión Anulatoria - Recurso Extraordinario de Inaplicabilidad de Ley (5/09/2022)”</w:t>
      </w:r>
      <w:r w:rsidRPr="002C2C5E">
        <w:rPr>
          <w:rFonts w:ascii="Arial" w:hAnsi="Arial" w:cs="Arial"/>
          <w:sz w:val="20"/>
          <w:szCs w:val="20"/>
          <w:lang w:val="es-ES_tradnl"/>
        </w:rPr>
        <w:t>.</w:t>
      </w:r>
      <w:r w:rsidRPr="002C2C5E">
        <w:rPr>
          <w:rFonts w:ascii="Arial" w:hAnsi="Arial" w:cs="Arial"/>
          <w:sz w:val="20"/>
          <w:szCs w:val="20"/>
          <w:lang w:val="es-ES_tradnl"/>
        </w:rPr>
        <w:t xml:space="preserve"> (viene de la reunión anterior)</w:t>
      </w:r>
    </w:p>
    <w:p w14:paraId="4CF5AF7C" w14:textId="6709E70D" w:rsidR="002C2C5E" w:rsidRPr="002C2C5E" w:rsidRDefault="002C2C5E" w:rsidP="002C2C5E">
      <w:pPr>
        <w:snapToGrid w:val="0"/>
        <w:spacing w:after="240" w:line="360" w:lineRule="auto"/>
        <w:jc w:val="both"/>
        <w:rPr>
          <w:rFonts w:ascii="Arial" w:hAnsi="Arial" w:cs="Arial"/>
          <w:b/>
          <w:bCs/>
          <w:sz w:val="20"/>
          <w:szCs w:val="20"/>
          <w:u w:val="single"/>
          <w:lang w:val="es-ES_tradnl"/>
        </w:rPr>
      </w:pPr>
      <w:r w:rsidRPr="002C2C5E">
        <w:rPr>
          <w:rFonts w:ascii="Arial" w:hAnsi="Arial" w:cs="Arial"/>
          <w:b/>
          <w:bCs/>
          <w:sz w:val="20"/>
          <w:szCs w:val="20"/>
          <w:u w:val="single"/>
          <w:lang w:val="es-ES_tradnl"/>
        </w:rPr>
        <w:t>JUZGADO FEDERAL DE SALTA N°2</w:t>
      </w:r>
    </w:p>
    <w:p w14:paraId="0859FCA5" w14:textId="15557C74" w:rsidR="002C2C5E" w:rsidRPr="002C2C5E" w:rsidRDefault="002C2C5E" w:rsidP="002C2C5E">
      <w:pPr>
        <w:pStyle w:val="Prrafodelista"/>
        <w:numPr>
          <w:ilvl w:val="0"/>
          <w:numId w:val="3"/>
        </w:numPr>
        <w:snapToGrid w:val="0"/>
        <w:spacing w:after="240" w:line="360" w:lineRule="auto"/>
        <w:jc w:val="both"/>
        <w:rPr>
          <w:rFonts w:ascii="Arial" w:hAnsi="Arial" w:cs="Arial"/>
          <w:sz w:val="20"/>
          <w:szCs w:val="20"/>
          <w:lang w:val="es-ES_tradnl"/>
        </w:rPr>
      </w:pPr>
      <w:r w:rsidRPr="002C2C5E">
        <w:rPr>
          <w:rFonts w:ascii="Arial" w:hAnsi="Arial" w:cs="Arial"/>
          <w:b/>
          <w:bCs/>
          <w:sz w:val="20"/>
          <w:szCs w:val="20"/>
        </w:rPr>
        <w:t>Contribución que incide sobre los contratos de obras públicas. Cláusula del progreso. Ausencia de prueba de prestación de servicios.</w:t>
      </w:r>
      <w:r w:rsidRPr="002C2C5E">
        <w:rPr>
          <w:rFonts w:ascii="Arial" w:hAnsi="Arial" w:cs="Arial"/>
          <w:sz w:val="20"/>
          <w:szCs w:val="20"/>
        </w:rPr>
        <w:t xml:space="preserve"> Se hace lugar parcialmente a la demanda en relación “</w:t>
      </w:r>
      <w:r w:rsidRPr="002C2C5E">
        <w:rPr>
          <w:rFonts w:ascii="Arial" w:hAnsi="Arial" w:cs="Arial"/>
          <w:i/>
          <w:sz w:val="20"/>
          <w:szCs w:val="20"/>
        </w:rPr>
        <w:t xml:space="preserve">a la actividad que desarrolla la firma en el </w:t>
      </w:r>
      <w:proofErr w:type="spellStart"/>
      <w:r w:rsidRPr="002C2C5E">
        <w:rPr>
          <w:rFonts w:ascii="Arial" w:hAnsi="Arial" w:cs="Arial"/>
          <w:i/>
          <w:sz w:val="20"/>
          <w:szCs w:val="20"/>
        </w:rPr>
        <w:t>éjido</w:t>
      </w:r>
      <w:proofErr w:type="spellEnd"/>
      <w:r w:rsidRPr="002C2C5E">
        <w:rPr>
          <w:rFonts w:ascii="Arial" w:hAnsi="Arial" w:cs="Arial"/>
          <w:i/>
          <w:sz w:val="20"/>
          <w:szCs w:val="20"/>
        </w:rPr>
        <w:t xml:space="preserve"> municipal, que consiste en la construcción de una estación transformadora, cuya ejecución le fuera encomendada por el Estado Nacional</w:t>
      </w:r>
      <w:r w:rsidRPr="002C2C5E">
        <w:rPr>
          <w:rFonts w:ascii="Arial" w:hAnsi="Arial" w:cs="Arial"/>
          <w:sz w:val="20"/>
          <w:szCs w:val="20"/>
        </w:rPr>
        <w:t>”. “</w:t>
      </w:r>
      <w:r w:rsidRPr="002C2C5E">
        <w:rPr>
          <w:rFonts w:ascii="Arial" w:hAnsi="Arial" w:cs="Arial"/>
          <w:b/>
          <w:bCs/>
          <w:i/>
          <w:iCs/>
          <w:sz w:val="20"/>
          <w:szCs w:val="20"/>
          <w:lang w:val="es-ES_tradnl"/>
        </w:rPr>
        <w:t>ROVELLA CARRANZA SA c/ MUNICIPALIDAD DE LA MERCED s/ACCION MERAMENTE DECLARATIVA DE DERECHO (26/08/2022)”.</w:t>
      </w:r>
      <w:r>
        <w:rPr>
          <w:rFonts w:ascii="Arial" w:hAnsi="Arial" w:cs="Arial"/>
          <w:b/>
          <w:bCs/>
          <w:i/>
          <w:iCs/>
          <w:sz w:val="20"/>
          <w:szCs w:val="20"/>
          <w:lang w:val="es-ES_tradnl"/>
        </w:rPr>
        <w:t xml:space="preserve"> </w:t>
      </w:r>
      <w:r w:rsidRPr="002C2C5E">
        <w:rPr>
          <w:rFonts w:ascii="Arial" w:hAnsi="Arial" w:cs="Arial"/>
          <w:sz w:val="20"/>
          <w:szCs w:val="20"/>
          <w:lang w:val="es-ES_tradnl"/>
        </w:rPr>
        <w:t>(viene de la reunión anterior)</w:t>
      </w:r>
    </w:p>
    <w:p w14:paraId="7F3DFC30" w14:textId="1AE98E64" w:rsidR="002C2C5E" w:rsidRPr="002C2C5E" w:rsidRDefault="002C2C5E" w:rsidP="002C2C5E">
      <w:pPr>
        <w:snapToGrid w:val="0"/>
        <w:spacing w:after="240" w:line="360" w:lineRule="auto"/>
        <w:jc w:val="both"/>
        <w:rPr>
          <w:rFonts w:ascii="Arial" w:hAnsi="Arial" w:cs="Arial"/>
          <w:b/>
          <w:bCs/>
          <w:sz w:val="20"/>
          <w:szCs w:val="20"/>
          <w:u w:val="single"/>
          <w:lang w:val="es-ES_tradnl"/>
        </w:rPr>
      </w:pPr>
      <w:r w:rsidRPr="002C2C5E">
        <w:rPr>
          <w:rFonts w:ascii="Arial" w:hAnsi="Arial" w:cs="Arial"/>
          <w:b/>
          <w:bCs/>
          <w:sz w:val="20"/>
          <w:szCs w:val="20"/>
          <w:u w:val="single"/>
          <w:lang w:val="es-ES_tradnl"/>
        </w:rPr>
        <w:t>CÁMARA APELACIONES CIVIL Y COMERCIAL 4ª DE CÓRDOBA</w:t>
      </w:r>
    </w:p>
    <w:p w14:paraId="69876626" w14:textId="77777777" w:rsidR="002C2C5E" w:rsidRPr="002C2C5E" w:rsidRDefault="002C2C5E" w:rsidP="002C2C5E">
      <w:pPr>
        <w:pStyle w:val="Prrafodelista"/>
        <w:numPr>
          <w:ilvl w:val="0"/>
          <w:numId w:val="3"/>
        </w:numPr>
        <w:snapToGrid w:val="0"/>
        <w:spacing w:after="240" w:line="360" w:lineRule="auto"/>
        <w:jc w:val="both"/>
        <w:rPr>
          <w:rFonts w:ascii="Arial" w:hAnsi="Arial" w:cs="Arial"/>
          <w:sz w:val="20"/>
          <w:szCs w:val="20"/>
          <w:lang w:val="es-ES_tradnl"/>
        </w:rPr>
      </w:pPr>
      <w:r w:rsidRPr="002C2C5E">
        <w:rPr>
          <w:rFonts w:ascii="Arial" w:hAnsi="Arial" w:cs="Arial"/>
          <w:b/>
          <w:bCs/>
          <w:sz w:val="20"/>
          <w:szCs w:val="20"/>
          <w:lang w:val="es-ES_tradnl"/>
        </w:rPr>
        <w:t>Ejecución Fiscal. Devolución de sumas de dinero a la ejecutante vencida.</w:t>
      </w:r>
      <w:r w:rsidRPr="002C2C5E">
        <w:rPr>
          <w:rFonts w:ascii="Arial" w:hAnsi="Arial" w:cs="Arial"/>
          <w:sz w:val="20"/>
          <w:szCs w:val="20"/>
          <w:lang w:val="es-ES_tradnl"/>
        </w:rPr>
        <w:t xml:space="preserve"> “</w:t>
      </w:r>
      <w:r w:rsidRPr="002C2C5E">
        <w:rPr>
          <w:rFonts w:ascii="Arial" w:hAnsi="Arial" w:cs="Arial"/>
          <w:i/>
          <w:sz w:val="20"/>
          <w:szCs w:val="20"/>
          <w:lang w:val="es-ES_tradnl"/>
        </w:rPr>
        <w:t>C</w:t>
      </w:r>
      <w:proofErr w:type="spellStart"/>
      <w:r w:rsidRPr="002C2C5E">
        <w:rPr>
          <w:rFonts w:ascii="Arial" w:hAnsi="Arial" w:cs="Arial"/>
          <w:i/>
          <w:sz w:val="20"/>
          <w:szCs w:val="20"/>
        </w:rPr>
        <w:t>orresponde</w:t>
      </w:r>
      <w:proofErr w:type="spellEnd"/>
      <w:r w:rsidRPr="002C2C5E">
        <w:rPr>
          <w:rFonts w:ascii="Arial" w:hAnsi="Arial" w:cs="Arial"/>
          <w:i/>
          <w:sz w:val="20"/>
          <w:szCs w:val="20"/>
        </w:rPr>
        <w:t xml:space="preserve"> en este caso admitir la apelación y revocar la decisión adoptada por la Sra. Juez de primera instancia en cuanto ordena a AMX a ocurrir a la vía del juicio ordinario de repetición para reclamar la restitución de lo pagado con motivo de la ejecución provisional de la sentencia luego revocada</w:t>
      </w:r>
      <w:r w:rsidRPr="002C2C5E">
        <w:rPr>
          <w:rFonts w:ascii="Arial" w:hAnsi="Arial" w:cs="Arial"/>
          <w:sz w:val="20"/>
          <w:szCs w:val="20"/>
        </w:rPr>
        <w:t xml:space="preserve">”. </w:t>
      </w:r>
      <w:r w:rsidRPr="002C2C5E">
        <w:rPr>
          <w:rFonts w:ascii="Arial" w:hAnsi="Arial" w:cs="Arial"/>
          <w:b/>
          <w:bCs/>
          <w:i/>
          <w:iCs/>
          <w:sz w:val="20"/>
          <w:szCs w:val="20"/>
        </w:rPr>
        <w:t>“</w:t>
      </w:r>
      <w:r w:rsidRPr="002C2C5E">
        <w:rPr>
          <w:rFonts w:ascii="Arial" w:hAnsi="Arial" w:cs="Arial"/>
          <w:b/>
          <w:bCs/>
          <w:i/>
          <w:iCs/>
          <w:sz w:val="20"/>
          <w:szCs w:val="20"/>
          <w:lang w:val="es-ES_tradnl"/>
        </w:rPr>
        <w:t>Municipalidad de Calchín c/ AMX ARGENTINA S.A. – Ejecutivo Fiscal – (29/08/2022)”.</w:t>
      </w:r>
      <w:r>
        <w:rPr>
          <w:rFonts w:ascii="Arial" w:hAnsi="Arial" w:cs="Arial"/>
          <w:b/>
          <w:bCs/>
          <w:i/>
          <w:iCs/>
          <w:sz w:val="20"/>
          <w:szCs w:val="20"/>
          <w:lang w:val="es-ES_tradnl"/>
        </w:rPr>
        <w:t xml:space="preserve"> </w:t>
      </w:r>
      <w:r w:rsidRPr="002C2C5E">
        <w:rPr>
          <w:rFonts w:ascii="Arial" w:hAnsi="Arial" w:cs="Arial"/>
          <w:sz w:val="20"/>
          <w:szCs w:val="20"/>
          <w:lang w:val="es-ES_tradnl"/>
        </w:rPr>
        <w:t>(viene de la reunión anterior)</w:t>
      </w:r>
    </w:p>
    <w:p w14:paraId="7DA4BD56" w14:textId="453511F7" w:rsidR="000A39DE" w:rsidRDefault="000A39DE" w:rsidP="000A39DE">
      <w:pPr>
        <w:snapToGrid w:val="0"/>
        <w:spacing w:after="240" w:line="360" w:lineRule="auto"/>
        <w:jc w:val="both"/>
        <w:rPr>
          <w:rFonts w:ascii="Arial" w:hAnsi="Arial" w:cs="Arial"/>
          <w:b/>
          <w:bCs/>
          <w:sz w:val="20"/>
          <w:szCs w:val="20"/>
          <w:u w:val="single"/>
          <w:lang w:val="es-ES_tradnl"/>
        </w:rPr>
      </w:pPr>
      <w:r>
        <w:rPr>
          <w:rFonts w:ascii="Arial" w:hAnsi="Arial" w:cs="Arial"/>
          <w:b/>
          <w:bCs/>
          <w:sz w:val="20"/>
          <w:szCs w:val="20"/>
          <w:u w:val="single"/>
          <w:lang w:val="es-ES_tradnl"/>
        </w:rPr>
        <w:t>COMISION ARBITRAL Y COMISION PLENARIA</w:t>
      </w:r>
    </w:p>
    <w:p w14:paraId="1FFEFB36" w14:textId="0ECC9B53" w:rsidR="000A39DE" w:rsidRPr="00BF561F" w:rsidRDefault="008D549E" w:rsidP="008D549E">
      <w:pPr>
        <w:pStyle w:val="Prrafodelista"/>
        <w:numPr>
          <w:ilvl w:val="0"/>
          <w:numId w:val="3"/>
        </w:numPr>
        <w:snapToGrid w:val="0"/>
        <w:spacing w:after="240" w:line="360" w:lineRule="auto"/>
        <w:jc w:val="both"/>
        <w:rPr>
          <w:rFonts w:ascii="Arial" w:hAnsi="Arial" w:cs="Arial"/>
          <w:b/>
          <w:bCs/>
          <w:sz w:val="20"/>
          <w:szCs w:val="20"/>
          <w:lang w:val="es-ES_tradnl"/>
        </w:rPr>
      </w:pPr>
      <w:r w:rsidRPr="00BF561F">
        <w:rPr>
          <w:rFonts w:ascii="Arial" w:hAnsi="Arial" w:cs="Arial"/>
          <w:b/>
          <w:bCs/>
          <w:sz w:val="20"/>
          <w:szCs w:val="20"/>
          <w:lang w:val="es-ES_tradnl"/>
        </w:rPr>
        <w:t xml:space="preserve">R. (CA) 27/2022. </w:t>
      </w:r>
      <w:r w:rsidRPr="00BF561F">
        <w:rPr>
          <w:rFonts w:ascii="Arial" w:hAnsi="Arial" w:cs="Arial"/>
          <w:b/>
          <w:bCs/>
          <w:i/>
          <w:iCs/>
          <w:sz w:val="20"/>
          <w:szCs w:val="20"/>
          <w:lang w:val="es-ES_tradnl"/>
        </w:rPr>
        <w:t>“</w:t>
      </w:r>
      <w:r w:rsidRPr="00BF561F">
        <w:rPr>
          <w:rFonts w:ascii="Arial" w:hAnsi="Arial" w:cs="Arial"/>
          <w:b/>
          <w:bCs/>
          <w:i/>
          <w:iCs/>
          <w:sz w:val="20"/>
          <w:szCs w:val="20"/>
          <w:lang w:val="es-ES_tradnl"/>
        </w:rPr>
        <w:t>AMX Argentina SA c/ municipalidad de La Matanza, provincia de Buenos Aires</w:t>
      </w:r>
      <w:r w:rsidRPr="00BF561F">
        <w:rPr>
          <w:rFonts w:ascii="Arial" w:hAnsi="Arial" w:cs="Arial"/>
          <w:b/>
          <w:bCs/>
          <w:i/>
          <w:iCs/>
          <w:sz w:val="20"/>
          <w:szCs w:val="20"/>
          <w:lang w:val="es-ES_tradnl"/>
        </w:rPr>
        <w:t>”</w:t>
      </w:r>
      <w:r w:rsidRPr="00BF561F">
        <w:rPr>
          <w:rFonts w:ascii="Arial" w:hAnsi="Arial" w:cs="Arial"/>
          <w:b/>
          <w:bCs/>
          <w:sz w:val="20"/>
          <w:szCs w:val="20"/>
          <w:lang w:val="es-ES_tradnl"/>
        </w:rPr>
        <w:t xml:space="preserve">.  Períodos 1/2014 a 12/2018. </w:t>
      </w:r>
    </w:p>
    <w:p w14:paraId="5A6F661D" w14:textId="355D1673" w:rsidR="008D549E" w:rsidRDefault="008D549E" w:rsidP="008D549E">
      <w:pPr>
        <w:snapToGrid w:val="0"/>
        <w:spacing w:after="240" w:line="360" w:lineRule="auto"/>
        <w:ind w:left="708"/>
        <w:jc w:val="both"/>
        <w:rPr>
          <w:rFonts w:ascii="Arial" w:hAnsi="Arial" w:cs="Arial"/>
          <w:sz w:val="20"/>
          <w:szCs w:val="20"/>
          <w:lang w:val="es-ES_tradnl"/>
        </w:rPr>
      </w:pPr>
      <w:r>
        <w:rPr>
          <w:rFonts w:ascii="Arial" w:hAnsi="Arial" w:cs="Arial"/>
          <w:sz w:val="20"/>
          <w:szCs w:val="20"/>
          <w:lang w:val="es-ES_tradnl"/>
        </w:rPr>
        <w:lastRenderedPageBreak/>
        <w:t xml:space="preserve">La CA ratifica la aplicación del tercer párrafo del </w:t>
      </w:r>
      <w:r w:rsidRPr="008D549E">
        <w:rPr>
          <w:rFonts w:ascii="Arial" w:hAnsi="Arial" w:cs="Arial"/>
          <w:sz w:val="20"/>
          <w:szCs w:val="20"/>
          <w:lang w:val="es-ES_tradnl"/>
        </w:rPr>
        <w:t xml:space="preserve">artículo 35, del Convenio Multilateral, </w:t>
      </w:r>
      <w:r>
        <w:rPr>
          <w:rFonts w:ascii="Arial" w:hAnsi="Arial" w:cs="Arial"/>
          <w:sz w:val="20"/>
          <w:szCs w:val="20"/>
          <w:lang w:val="es-ES_tradnl"/>
        </w:rPr>
        <w:t xml:space="preserve">dada la exigencia, establecida en la </w:t>
      </w:r>
      <w:r w:rsidRPr="008D549E">
        <w:rPr>
          <w:rFonts w:ascii="Arial" w:hAnsi="Arial" w:cs="Arial"/>
          <w:sz w:val="20"/>
          <w:szCs w:val="20"/>
          <w:lang w:val="es-ES_tradnl"/>
        </w:rPr>
        <w:t xml:space="preserve">Ley Orgánica de Municipalidades </w:t>
      </w:r>
      <w:r>
        <w:rPr>
          <w:rFonts w:ascii="Arial" w:hAnsi="Arial" w:cs="Arial"/>
          <w:sz w:val="20"/>
          <w:szCs w:val="20"/>
          <w:lang w:val="es-ES_tradnl"/>
        </w:rPr>
        <w:t xml:space="preserve">de aplica la </w:t>
      </w:r>
      <w:r w:rsidRPr="008D549E">
        <w:rPr>
          <w:rFonts w:ascii="Arial" w:hAnsi="Arial" w:cs="Arial"/>
          <w:sz w:val="20"/>
          <w:szCs w:val="20"/>
          <w:lang w:val="es-ES_tradnl"/>
        </w:rPr>
        <w:t xml:space="preserve">tasa </w:t>
      </w:r>
      <w:r>
        <w:rPr>
          <w:rFonts w:ascii="Arial" w:hAnsi="Arial" w:cs="Arial"/>
          <w:sz w:val="20"/>
          <w:szCs w:val="20"/>
          <w:lang w:val="es-ES_tradnl"/>
        </w:rPr>
        <w:t xml:space="preserve">de Seguridad e Higiene, sólo ante la </w:t>
      </w:r>
      <w:r w:rsidRPr="008D549E">
        <w:rPr>
          <w:rFonts w:ascii="Arial" w:hAnsi="Arial" w:cs="Arial"/>
          <w:sz w:val="20"/>
          <w:szCs w:val="20"/>
          <w:lang w:val="es-ES_tradnl"/>
        </w:rPr>
        <w:t>existencia en el ámbito municipal de “local habilitado” o “susceptible de habilitación”.</w:t>
      </w:r>
      <w:r>
        <w:rPr>
          <w:rFonts w:ascii="Arial" w:hAnsi="Arial" w:cs="Arial"/>
          <w:sz w:val="20"/>
          <w:szCs w:val="20"/>
          <w:lang w:val="es-ES_tradnl"/>
        </w:rPr>
        <w:t xml:space="preserve"> E</w:t>
      </w:r>
      <w:r w:rsidRPr="008D549E">
        <w:rPr>
          <w:rFonts w:ascii="Arial" w:hAnsi="Arial" w:cs="Arial"/>
          <w:sz w:val="20"/>
          <w:szCs w:val="20"/>
          <w:lang w:val="es-ES_tradnl"/>
        </w:rPr>
        <w:t>n consecuencia, el municipio de La Matanza, en los períodos ajustados, tiene derecho para la aplicación de la TISH a gravar en conjunto con las jurisdicciones municipales en las que AMX Argentina SA posea la correspondiente habilitación, el 100% del monto atribuible al fisco provincial</w:t>
      </w:r>
      <w:r>
        <w:rPr>
          <w:rFonts w:ascii="Arial" w:hAnsi="Arial" w:cs="Arial"/>
          <w:sz w:val="20"/>
          <w:szCs w:val="20"/>
          <w:lang w:val="es-ES_tradnl"/>
        </w:rPr>
        <w:t>.</w:t>
      </w:r>
    </w:p>
    <w:p w14:paraId="4F330AC6" w14:textId="6301D156" w:rsidR="008D549E" w:rsidRDefault="008D549E" w:rsidP="008D549E">
      <w:pPr>
        <w:snapToGrid w:val="0"/>
        <w:spacing w:after="240" w:line="360" w:lineRule="auto"/>
        <w:ind w:left="708"/>
        <w:jc w:val="both"/>
        <w:rPr>
          <w:rFonts w:ascii="Arial" w:hAnsi="Arial" w:cs="Arial"/>
          <w:sz w:val="20"/>
          <w:szCs w:val="20"/>
          <w:lang w:val="es-ES_tradnl"/>
        </w:rPr>
      </w:pPr>
      <w:r>
        <w:rPr>
          <w:rFonts w:ascii="Arial" w:hAnsi="Arial" w:cs="Arial"/>
          <w:sz w:val="20"/>
          <w:szCs w:val="20"/>
          <w:lang w:val="es-ES_tradnl"/>
        </w:rPr>
        <w:t xml:space="preserve">En cuanto al planteo relativo a la imposibilidad de que el municipio incluya en la base imponible conceptos exentos por el Código Fiscal Provincial (por superarse el límite del tercer párrafo), la CA expresa que: </w:t>
      </w:r>
      <w:r w:rsidRPr="008D549E">
        <w:rPr>
          <w:rFonts w:ascii="Arial" w:hAnsi="Arial" w:cs="Arial"/>
          <w:i/>
          <w:iCs/>
          <w:sz w:val="20"/>
          <w:szCs w:val="20"/>
          <w:lang w:val="es-ES_tradnl"/>
        </w:rPr>
        <w:t>“</w:t>
      </w:r>
      <w:r w:rsidRPr="008D549E">
        <w:rPr>
          <w:rFonts w:ascii="Arial" w:hAnsi="Arial" w:cs="Arial"/>
          <w:i/>
          <w:iCs/>
          <w:sz w:val="20"/>
          <w:szCs w:val="20"/>
          <w:lang w:val="es-ES_tradnl"/>
        </w:rPr>
        <w:t xml:space="preserve">la circunstancia de que algunas jurisdicciones provinciales o municipales hayan excluido de la conformación de la base imponible a esos ingresos, </w:t>
      </w:r>
      <w:r w:rsidRPr="008D549E">
        <w:rPr>
          <w:rFonts w:ascii="Arial" w:hAnsi="Arial" w:cs="Arial"/>
          <w:b/>
          <w:bCs/>
          <w:i/>
          <w:iCs/>
          <w:sz w:val="20"/>
          <w:szCs w:val="20"/>
          <w:lang w:val="es-ES_tradnl"/>
        </w:rPr>
        <w:t>no hace que pierdan ese carácter (ingreso)</w:t>
      </w:r>
      <w:r w:rsidRPr="008D549E">
        <w:rPr>
          <w:rFonts w:ascii="Arial" w:hAnsi="Arial" w:cs="Arial"/>
          <w:i/>
          <w:iCs/>
          <w:sz w:val="20"/>
          <w:szCs w:val="20"/>
          <w:lang w:val="es-ES_tradnl"/>
        </w:rPr>
        <w:t>, sino que para las mismas ese concepto se encuentra exento del pago y se deduce a los fines de la determinación de la base imponible gravada. El límite impuesto por el artículo 35 del Convenio Multilateral tiene por objeto que ningún contribuyente sujeto a las normas de dicho Acuerdo deba soportar una doble tributación sobre determinados ingresos</w:t>
      </w:r>
      <w:r w:rsidRPr="008D549E">
        <w:rPr>
          <w:rFonts w:ascii="Arial" w:hAnsi="Arial" w:cs="Arial"/>
          <w:i/>
          <w:iCs/>
          <w:sz w:val="20"/>
          <w:szCs w:val="20"/>
          <w:lang w:val="es-ES_tradnl"/>
        </w:rPr>
        <w:t>…</w:t>
      </w:r>
      <w:r w:rsidRPr="008D549E">
        <w:rPr>
          <w:i/>
          <w:iCs/>
        </w:rPr>
        <w:t xml:space="preserve"> </w:t>
      </w:r>
      <w:r w:rsidRPr="008D549E">
        <w:rPr>
          <w:rFonts w:ascii="Arial" w:hAnsi="Arial" w:cs="Arial"/>
          <w:i/>
          <w:iCs/>
          <w:sz w:val="20"/>
          <w:szCs w:val="20"/>
          <w:lang w:val="es-ES_tradnl"/>
        </w:rPr>
        <w:t>así como la jurisdicción provincial puede legislar disponiendo cuales son los alcances del hecho imponible y como se conforma la base imponible del Impuesto sobre los Ingresos Brutos, como así las exenciones, deducciones y todo lo que se relacione con su política tributaria, también es facultad de los municipios idénticas atribuciones respecto de la Tasa en cuestión y ello es materia exclusiva de su incumbencia</w:t>
      </w:r>
      <w:r w:rsidRPr="008D549E">
        <w:rPr>
          <w:rFonts w:ascii="Arial" w:hAnsi="Arial" w:cs="Arial"/>
          <w:i/>
          <w:iCs/>
          <w:sz w:val="20"/>
          <w:szCs w:val="20"/>
          <w:lang w:val="es-ES_tradnl"/>
        </w:rPr>
        <w:t>”</w:t>
      </w:r>
      <w:r>
        <w:rPr>
          <w:rFonts w:ascii="Arial" w:hAnsi="Arial" w:cs="Arial"/>
          <w:sz w:val="20"/>
          <w:szCs w:val="20"/>
          <w:lang w:val="es-ES_tradnl"/>
        </w:rPr>
        <w:t>.</w:t>
      </w:r>
    </w:p>
    <w:p w14:paraId="57C8CA99" w14:textId="049C40EE" w:rsidR="008D549E" w:rsidRDefault="008D549E" w:rsidP="00075A59">
      <w:pPr>
        <w:pStyle w:val="Prrafodelista"/>
        <w:numPr>
          <w:ilvl w:val="0"/>
          <w:numId w:val="3"/>
        </w:numPr>
        <w:snapToGrid w:val="0"/>
        <w:spacing w:after="240" w:line="360" w:lineRule="auto"/>
        <w:ind w:left="357" w:hanging="357"/>
        <w:contextualSpacing w:val="0"/>
        <w:jc w:val="both"/>
        <w:rPr>
          <w:rFonts w:ascii="Arial" w:hAnsi="Arial" w:cs="Arial"/>
          <w:sz w:val="20"/>
          <w:szCs w:val="20"/>
          <w:lang w:val="es-ES_tradnl"/>
        </w:rPr>
      </w:pPr>
      <w:r w:rsidRPr="00BF561F">
        <w:rPr>
          <w:rFonts w:ascii="Arial" w:hAnsi="Arial" w:cs="Arial"/>
          <w:b/>
          <w:bCs/>
          <w:sz w:val="20"/>
          <w:szCs w:val="20"/>
          <w:lang w:val="es-ES_tradnl"/>
        </w:rPr>
        <w:t>R. (CP) 19/2022</w:t>
      </w:r>
      <w:r w:rsidRPr="00BF561F">
        <w:rPr>
          <w:rFonts w:ascii="Arial" w:hAnsi="Arial" w:cs="Arial"/>
          <w:b/>
          <w:bCs/>
          <w:i/>
          <w:iCs/>
          <w:sz w:val="20"/>
          <w:szCs w:val="20"/>
          <w:lang w:val="es-ES_tradnl"/>
        </w:rPr>
        <w:t xml:space="preserve">. </w:t>
      </w:r>
      <w:r w:rsidRPr="00BF561F">
        <w:rPr>
          <w:rFonts w:ascii="Arial" w:hAnsi="Arial" w:cs="Arial"/>
          <w:b/>
          <w:bCs/>
          <w:i/>
          <w:iCs/>
          <w:sz w:val="20"/>
          <w:szCs w:val="20"/>
          <w:lang w:val="es-ES_tradnl"/>
        </w:rPr>
        <w:t>“Philips Argentina SA c/ provincia de Santa Fe”</w:t>
      </w:r>
      <w:r w:rsidRPr="00BF561F">
        <w:rPr>
          <w:rFonts w:ascii="Arial" w:hAnsi="Arial" w:cs="Arial"/>
          <w:b/>
          <w:bCs/>
          <w:i/>
          <w:iCs/>
          <w:sz w:val="20"/>
          <w:szCs w:val="20"/>
          <w:lang w:val="es-ES_tradnl"/>
        </w:rPr>
        <w:t>.</w:t>
      </w:r>
      <w:r w:rsidRPr="00BF561F">
        <w:rPr>
          <w:rFonts w:ascii="Arial" w:hAnsi="Arial" w:cs="Arial"/>
          <w:b/>
          <w:bCs/>
          <w:sz w:val="20"/>
          <w:szCs w:val="20"/>
          <w:lang w:val="es-ES_tradnl"/>
        </w:rPr>
        <w:t xml:space="preserve"> </w:t>
      </w:r>
      <w:r w:rsidR="00BF561F" w:rsidRPr="00BF561F">
        <w:rPr>
          <w:rFonts w:ascii="Arial" w:hAnsi="Arial" w:cs="Arial"/>
          <w:b/>
          <w:bCs/>
          <w:sz w:val="20"/>
          <w:szCs w:val="20"/>
          <w:lang w:val="es-ES_tradnl"/>
        </w:rPr>
        <w:t>Destino Final. Presunciones.</w:t>
      </w:r>
      <w:r w:rsidR="00BF561F" w:rsidRPr="00BF561F">
        <w:rPr>
          <w:rFonts w:ascii="Arial" w:hAnsi="Arial" w:cs="Arial"/>
          <w:sz w:val="20"/>
          <w:szCs w:val="20"/>
          <w:lang w:val="es-ES_tradnl"/>
        </w:rPr>
        <w:t xml:space="preserve"> Se ratifica la R. (CA) 3/2022, en cuanto a la utilización de presunciones para establecer el destino final de los bienes. En este caso, la API utilizó los ingresos que fueron motivo de retención del IIBB por agentes designados por dicha provincia. La CP agrega que “….</w:t>
      </w:r>
      <w:r w:rsidR="00BF561F" w:rsidRPr="00BF561F">
        <w:rPr>
          <w:rFonts w:ascii="Arial" w:hAnsi="Arial" w:cs="Arial"/>
          <w:sz w:val="20"/>
          <w:szCs w:val="20"/>
          <w:lang w:val="es-ES_tradnl"/>
        </w:rPr>
        <w:t xml:space="preserve"> de acuerdo con lo expuesto por los organismos de aplicación del Convenio Multilateral, es competencia del propio fisco utilizar las presunciones, sin que estos Organismos puedan juzgar o cuestionar esa facultad, siempre claro está que el fisco no cuente con los elementos necesarios para realizar las mismas sobre base cierta, hecho que está acreditado en las actuaciones administrativas</w:t>
      </w:r>
      <w:r w:rsidR="00BF561F" w:rsidRPr="00BF561F">
        <w:rPr>
          <w:rFonts w:ascii="Arial" w:hAnsi="Arial" w:cs="Arial"/>
          <w:sz w:val="20"/>
          <w:szCs w:val="20"/>
          <w:lang w:val="es-ES_tradnl"/>
        </w:rPr>
        <w:t>”. Luego se analiza la razonabilidad de la metodología utilizada por Santa Fe, convalidando la misma.</w:t>
      </w:r>
    </w:p>
    <w:p w14:paraId="4D1E4570" w14:textId="37C31129" w:rsidR="00440777" w:rsidRPr="00075A59" w:rsidRDefault="00BF561F" w:rsidP="00075A59">
      <w:pPr>
        <w:pStyle w:val="Prrafodelista"/>
        <w:numPr>
          <w:ilvl w:val="0"/>
          <w:numId w:val="3"/>
        </w:numPr>
        <w:snapToGrid w:val="0"/>
        <w:spacing w:after="240" w:line="360" w:lineRule="auto"/>
        <w:contextualSpacing w:val="0"/>
        <w:jc w:val="both"/>
        <w:rPr>
          <w:rFonts w:ascii="Arial" w:hAnsi="Arial" w:cs="Arial"/>
          <w:sz w:val="20"/>
          <w:szCs w:val="20"/>
          <w:lang w:val="es-ES_tradnl"/>
        </w:rPr>
      </w:pPr>
      <w:r w:rsidRPr="00075A59">
        <w:rPr>
          <w:rFonts w:ascii="Arial" w:hAnsi="Arial" w:cs="Arial"/>
          <w:b/>
          <w:bCs/>
          <w:sz w:val="20"/>
          <w:szCs w:val="20"/>
          <w:lang w:val="es-ES_tradnl"/>
        </w:rPr>
        <w:t xml:space="preserve">R. (CP) 17/2022. </w:t>
      </w:r>
      <w:r w:rsidRPr="00075A59">
        <w:rPr>
          <w:rFonts w:ascii="Arial" w:hAnsi="Arial" w:cs="Arial"/>
          <w:b/>
          <w:bCs/>
          <w:sz w:val="20"/>
          <w:szCs w:val="20"/>
          <w:lang w:val="es-ES_tradnl"/>
        </w:rPr>
        <w:t>BGH SA c/ provincia de Santa Fe”</w:t>
      </w:r>
      <w:r w:rsidRPr="00075A59">
        <w:rPr>
          <w:rFonts w:ascii="Arial" w:hAnsi="Arial" w:cs="Arial"/>
          <w:b/>
          <w:bCs/>
          <w:sz w:val="20"/>
          <w:szCs w:val="20"/>
          <w:lang w:val="es-ES_tradnl"/>
        </w:rPr>
        <w:t>.</w:t>
      </w:r>
      <w:r w:rsidRPr="00075A59">
        <w:rPr>
          <w:rFonts w:ascii="Arial" w:hAnsi="Arial" w:cs="Arial"/>
          <w:sz w:val="20"/>
          <w:szCs w:val="20"/>
          <w:lang w:val="es-ES_tradnl"/>
        </w:rPr>
        <w:t xml:space="preserve"> </w:t>
      </w:r>
      <w:r w:rsidRPr="00075A59">
        <w:rPr>
          <w:rFonts w:ascii="Arial" w:hAnsi="Arial" w:cs="Arial"/>
          <w:b/>
          <w:bCs/>
          <w:sz w:val="20"/>
          <w:szCs w:val="20"/>
          <w:lang w:val="es-ES_tradnl"/>
        </w:rPr>
        <w:t xml:space="preserve">Destino Final. </w:t>
      </w:r>
      <w:r w:rsidRPr="00075A59">
        <w:rPr>
          <w:rFonts w:ascii="Arial" w:hAnsi="Arial" w:cs="Arial"/>
          <w:b/>
          <w:bCs/>
          <w:sz w:val="20"/>
          <w:szCs w:val="20"/>
          <w:lang w:val="es-ES_tradnl"/>
        </w:rPr>
        <w:t>Domicilio del Adquirente.</w:t>
      </w:r>
      <w:r w:rsidRPr="00075A59">
        <w:rPr>
          <w:rFonts w:ascii="Arial" w:hAnsi="Arial" w:cs="Arial"/>
          <w:sz w:val="20"/>
          <w:szCs w:val="20"/>
          <w:lang w:val="es-ES_tradnl"/>
        </w:rPr>
        <w:t xml:space="preserve"> Se ratifica la R. (CA) </w:t>
      </w:r>
      <w:r w:rsidR="00075A59" w:rsidRPr="00075A59">
        <w:rPr>
          <w:rFonts w:ascii="Arial" w:hAnsi="Arial" w:cs="Arial"/>
          <w:sz w:val="20"/>
          <w:szCs w:val="20"/>
          <w:lang w:val="es-ES_tradnl"/>
        </w:rPr>
        <w:t xml:space="preserve">2/2022. </w:t>
      </w:r>
      <w:r w:rsidR="00075A59" w:rsidRPr="00075A59">
        <w:rPr>
          <w:rFonts w:ascii="Arial" w:hAnsi="Arial" w:cs="Arial"/>
          <w:i/>
          <w:iCs/>
          <w:sz w:val="20"/>
          <w:szCs w:val="20"/>
          <w:lang w:val="es-ES_tradnl"/>
        </w:rPr>
        <w:t>“…</w:t>
      </w:r>
      <w:r w:rsidR="00075A59" w:rsidRPr="00075A59">
        <w:rPr>
          <w:rFonts w:ascii="Arial" w:hAnsi="Arial" w:cs="Arial"/>
          <w:i/>
          <w:iCs/>
          <w:sz w:val="20"/>
          <w:szCs w:val="20"/>
          <w:lang w:val="es-ES_tradnl"/>
        </w:rPr>
        <w:t xml:space="preserve">los centros de distribución o depósito de tales compradores no constituyen el lugar del destino final de los bienes y menos aún puede decirse que de allí </w:t>
      </w:r>
      <w:r w:rsidR="00075A59" w:rsidRPr="00075A59">
        <w:rPr>
          <w:rFonts w:ascii="Arial" w:hAnsi="Arial" w:cs="Arial"/>
          <w:i/>
          <w:iCs/>
          <w:sz w:val="20"/>
          <w:szCs w:val="20"/>
          <w:lang w:val="es-ES_tradnl"/>
        </w:rPr>
        <w:lastRenderedPageBreak/>
        <w:t xml:space="preserve">provienen los </w:t>
      </w:r>
      <w:r w:rsidR="00075A59" w:rsidRPr="00075A59">
        <w:rPr>
          <w:rFonts w:ascii="Arial" w:hAnsi="Arial" w:cs="Arial"/>
          <w:i/>
          <w:iCs/>
          <w:sz w:val="20"/>
          <w:szCs w:val="20"/>
          <w:lang w:val="es-ES_tradnl"/>
        </w:rPr>
        <w:t>ingresos...” …”</w:t>
      </w:r>
      <w:r w:rsidR="00075A59" w:rsidRPr="00075A59">
        <w:rPr>
          <w:i/>
          <w:iCs/>
        </w:rPr>
        <w:t xml:space="preserve"> </w:t>
      </w:r>
      <w:r w:rsidR="00075A59" w:rsidRPr="00075A59">
        <w:rPr>
          <w:rFonts w:ascii="Arial" w:hAnsi="Arial" w:cs="Arial"/>
          <w:i/>
          <w:iCs/>
          <w:sz w:val="20"/>
          <w:szCs w:val="20"/>
          <w:lang w:val="es-ES_tradnl"/>
        </w:rPr>
        <w:t xml:space="preserve">la relación con sus </w:t>
      </w:r>
      <w:r w:rsidR="00075A59" w:rsidRPr="00075A59">
        <w:rPr>
          <w:rFonts w:ascii="Arial" w:hAnsi="Arial" w:cs="Arial"/>
          <w:i/>
          <w:iCs/>
          <w:sz w:val="20"/>
          <w:szCs w:val="20"/>
          <w:lang w:val="es-ES_tradnl"/>
        </w:rPr>
        <w:t xml:space="preserve">clientes </w:t>
      </w:r>
      <w:r w:rsidR="00075A59" w:rsidRPr="00075A59">
        <w:rPr>
          <w:rFonts w:ascii="Arial" w:hAnsi="Arial" w:cs="Arial"/>
          <w:i/>
          <w:iCs/>
          <w:sz w:val="20"/>
          <w:szCs w:val="20"/>
          <w:lang w:val="es-ES_tradnl"/>
        </w:rPr>
        <w:t>es de larga data, permanente y fluida, por lo que no puede desconocer cuál es el domicilio de cada uno de ellos</w:t>
      </w:r>
      <w:r w:rsidR="00075A59" w:rsidRPr="00075A59">
        <w:rPr>
          <w:rFonts w:ascii="Arial" w:hAnsi="Arial" w:cs="Arial"/>
          <w:i/>
          <w:iCs/>
          <w:sz w:val="20"/>
          <w:szCs w:val="20"/>
          <w:lang w:val="es-ES_tradnl"/>
        </w:rPr>
        <w:t>”.</w:t>
      </w:r>
    </w:p>
    <w:p w14:paraId="3F188C03" w14:textId="77777777" w:rsidR="00440777" w:rsidRDefault="00440777" w:rsidP="00A07B7F">
      <w:pPr>
        <w:snapToGrid w:val="0"/>
        <w:spacing w:after="240" w:line="360" w:lineRule="auto"/>
        <w:jc w:val="both"/>
        <w:rPr>
          <w:rFonts w:ascii="Arial" w:hAnsi="Arial" w:cs="Arial"/>
          <w:sz w:val="20"/>
          <w:szCs w:val="20"/>
          <w:lang w:val="es-ES_tradnl"/>
        </w:rPr>
      </w:pPr>
    </w:p>
    <w:p w14:paraId="31544E22" w14:textId="77777777" w:rsidR="00440777" w:rsidRDefault="00440777" w:rsidP="00A07B7F">
      <w:pPr>
        <w:snapToGrid w:val="0"/>
        <w:spacing w:after="240" w:line="360" w:lineRule="auto"/>
        <w:jc w:val="both"/>
        <w:rPr>
          <w:rFonts w:ascii="Arial" w:hAnsi="Arial" w:cs="Arial"/>
          <w:sz w:val="20"/>
          <w:szCs w:val="20"/>
          <w:lang w:val="es-ES_tradnl"/>
        </w:rPr>
      </w:pPr>
    </w:p>
    <w:sectPr w:rsidR="00440777">
      <w:footerReference w:type="even"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8316" w14:textId="77777777" w:rsidR="0063247C" w:rsidRDefault="0063247C" w:rsidP="00E36925">
      <w:r>
        <w:separator/>
      </w:r>
    </w:p>
  </w:endnote>
  <w:endnote w:type="continuationSeparator" w:id="0">
    <w:p w14:paraId="213AC288" w14:textId="77777777" w:rsidR="0063247C" w:rsidRDefault="0063247C" w:rsidP="00E3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altName w:val="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380716200"/>
      <w:docPartObj>
        <w:docPartGallery w:val="Page Numbers (Bottom of Page)"/>
        <w:docPartUnique/>
      </w:docPartObj>
    </w:sdtPr>
    <w:sdtContent>
      <w:p w14:paraId="694DEC9C" w14:textId="788680D9" w:rsidR="00E36925" w:rsidRDefault="00E36925" w:rsidP="00197B7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4A247E03" w14:textId="77777777" w:rsidR="00E36925" w:rsidRDefault="00E36925" w:rsidP="00E36925">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199229567"/>
      <w:docPartObj>
        <w:docPartGallery w:val="Page Numbers (Bottom of Page)"/>
        <w:docPartUnique/>
      </w:docPartObj>
    </w:sdtPr>
    <w:sdtContent>
      <w:p w14:paraId="4565BA07" w14:textId="3395FA6A" w:rsidR="00E36925" w:rsidRDefault="00E36925" w:rsidP="00197B7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13449743" w14:textId="77777777" w:rsidR="00E36925" w:rsidRDefault="00E36925" w:rsidP="00E36925">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460B" w14:textId="77777777" w:rsidR="0063247C" w:rsidRDefault="0063247C" w:rsidP="00E36925">
      <w:r>
        <w:separator/>
      </w:r>
    </w:p>
  </w:footnote>
  <w:footnote w:type="continuationSeparator" w:id="0">
    <w:p w14:paraId="51C2F220" w14:textId="77777777" w:rsidR="0063247C" w:rsidRDefault="0063247C" w:rsidP="00E36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0090E"/>
    <w:multiLevelType w:val="hybridMultilevel"/>
    <w:tmpl w:val="00B69F16"/>
    <w:lvl w:ilvl="0" w:tplc="FDE4ACC4">
      <w:start w:val="8"/>
      <w:numFmt w:val="decimal"/>
      <w:lvlText w:val="%1."/>
      <w:lvlJc w:val="left"/>
      <w:pPr>
        <w:ind w:left="360" w:hanging="360"/>
      </w:pPr>
      <w:rPr>
        <w:rFonts w:hint="default"/>
        <w:b/>
        <w:bCs/>
        <w:i w:val="0"/>
        <w:iCs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5E87500"/>
    <w:multiLevelType w:val="hybridMultilevel"/>
    <w:tmpl w:val="8EC23A24"/>
    <w:lvl w:ilvl="0" w:tplc="241A635C">
      <w:start w:val="1"/>
      <w:numFmt w:val="bullet"/>
      <w:lvlText w:val=""/>
      <w:lvlJc w:val="left"/>
      <w:pPr>
        <w:ind w:left="720" w:hanging="360"/>
      </w:pPr>
      <w:rPr>
        <w:rFonts w:ascii="Wingdings" w:hAnsi="Wingdings" w:hint="default"/>
        <w:sz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8285F49"/>
    <w:multiLevelType w:val="hybridMultilevel"/>
    <w:tmpl w:val="D276781C"/>
    <w:lvl w:ilvl="0" w:tplc="5AD867BA">
      <w:start w:val="1"/>
      <w:numFmt w:val="decimal"/>
      <w:lvlText w:val="%1."/>
      <w:lvlJc w:val="left"/>
      <w:pPr>
        <w:ind w:left="360" w:hanging="360"/>
      </w:pPr>
      <w:rPr>
        <w:b/>
        <w:bCs/>
        <w:i w:val="0"/>
        <w:iCs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7A530574"/>
    <w:multiLevelType w:val="hybridMultilevel"/>
    <w:tmpl w:val="C5829B20"/>
    <w:lvl w:ilvl="0" w:tplc="080A000F">
      <w:start w:val="1"/>
      <w:numFmt w:val="decimal"/>
      <w:lvlText w:val="%1."/>
      <w:lvlJc w:val="left"/>
      <w:pPr>
        <w:ind w:left="-351" w:hanging="360"/>
      </w:pPr>
    </w:lvl>
    <w:lvl w:ilvl="1" w:tplc="080A0019" w:tentative="1">
      <w:start w:val="1"/>
      <w:numFmt w:val="lowerLetter"/>
      <w:lvlText w:val="%2."/>
      <w:lvlJc w:val="left"/>
      <w:pPr>
        <w:ind w:left="369" w:hanging="360"/>
      </w:pPr>
    </w:lvl>
    <w:lvl w:ilvl="2" w:tplc="080A001B" w:tentative="1">
      <w:start w:val="1"/>
      <w:numFmt w:val="lowerRoman"/>
      <w:lvlText w:val="%3."/>
      <w:lvlJc w:val="right"/>
      <w:pPr>
        <w:ind w:left="1089" w:hanging="180"/>
      </w:pPr>
    </w:lvl>
    <w:lvl w:ilvl="3" w:tplc="080A000F" w:tentative="1">
      <w:start w:val="1"/>
      <w:numFmt w:val="decimal"/>
      <w:lvlText w:val="%4."/>
      <w:lvlJc w:val="left"/>
      <w:pPr>
        <w:ind w:left="1809" w:hanging="360"/>
      </w:pPr>
    </w:lvl>
    <w:lvl w:ilvl="4" w:tplc="080A0019" w:tentative="1">
      <w:start w:val="1"/>
      <w:numFmt w:val="lowerLetter"/>
      <w:lvlText w:val="%5."/>
      <w:lvlJc w:val="left"/>
      <w:pPr>
        <w:ind w:left="2529" w:hanging="360"/>
      </w:pPr>
    </w:lvl>
    <w:lvl w:ilvl="5" w:tplc="080A001B" w:tentative="1">
      <w:start w:val="1"/>
      <w:numFmt w:val="lowerRoman"/>
      <w:lvlText w:val="%6."/>
      <w:lvlJc w:val="right"/>
      <w:pPr>
        <w:ind w:left="3249" w:hanging="180"/>
      </w:pPr>
    </w:lvl>
    <w:lvl w:ilvl="6" w:tplc="080A000F" w:tentative="1">
      <w:start w:val="1"/>
      <w:numFmt w:val="decimal"/>
      <w:lvlText w:val="%7."/>
      <w:lvlJc w:val="left"/>
      <w:pPr>
        <w:ind w:left="3969" w:hanging="360"/>
      </w:pPr>
    </w:lvl>
    <w:lvl w:ilvl="7" w:tplc="080A0019" w:tentative="1">
      <w:start w:val="1"/>
      <w:numFmt w:val="lowerLetter"/>
      <w:lvlText w:val="%8."/>
      <w:lvlJc w:val="left"/>
      <w:pPr>
        <w:ind w:left="4689" w:hanging="360"/>
      </w:pPr>
    </w:lvl>
    <w:lvl w:ilvl="8" w:tplc="080A001B" w:tentative="1">
      <w:start w:val="1"/>
      <w:numFmt w:val="lowerRoman"/>
      <w:lvlText w:val="%9."/>
      <w:lvlJc w:val="right"/>
      <w:pPr>
        <w:ind w:left="5409" w:hanging="180"/>
      </w:pPr>
    </w:lvl>
  </w:abstractNum>
  <w:num w:numId="1" w16cid:durableId="2133479084">
    <w:abstractNumId w:val="1"/>
  </w:num>
  <w:num w:numId="2" w16cid:durableId="1679772182">
    <w:abstractNumId w:val="2"/>
  </w:num>
  <w:num w:numId="3" w16cid:durableId="380715329">
    <w:abstractNumId w:val="0"/>
  </w:num>
  <w:num w:numId="4" w16cid:durableId="1781414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B7F"/>
    <w:rsid w:val="000642B3"/>
    <w:rsid w:val="00075A59"/>
    <w:rsid w:val="000A39DE"/>
    <w:rsid w:val="000B49C8"/>
    <w:rsid w:val="00162F7F"/>
    <w:rsid w:val="001A164A"/>
    <w:rsid w:val="002A123E"/>
    <w:rsid w:val="002C2C5E"/>
    <w:rsid w:val="002F30AD"/>
    <w:rsid w:val="00415812"/>
    <w:rsid w:val="00440777"/>
    <w:rsid w:val="004C15EB"/>
    <w:rsid w:val="005429AE"/>
    <w:rsid w:val="0063247C"/>
    <w:rsid w:val="0072117D"/>
    <w:rsid w:val="007311E4"/>
    <w:rsid w:val="0074173C"/>
    <w:rsid w:val="00861DB5"/>
    <w:rsid w:val="008D549E"/>
    <w:rsid w:val="00A07B7F"/>
    <w:rsid w:val="00A602F6"/>
    <w:rsid w:val="00B92915"/>
    <w:rsid w:val="00BF561F"/>
    <w:rsid w:val="00C4235B"/>
    <w:rsid w:val="00CE72E7"/>
    <w:rsid w:val="00D27F35"/>
    <w:rsid w:val="00DD458E"/>
    <w:rsid w:val="00E36925"/>
    <w:rsid w:val="00E67A45"/>
    <w:rsid w:val="00F36FD8"/>
    <w:rsid w:val="00F67ACA"/>
    <w:rsid w:val="00FE648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14:docId w14:val="240B8818"/>
  <w15:chartTrackingRefBased/>
  <w15:docId w15:val="{4FACEDBB-9BFB-DA43-B50F-824FAED3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36925"/>
    <w:pPr>
      <w:ind w:left="720"/>
      <w:contextualSpacing/>
    </w:pPr>
  </w:style>
  <w:style w:type="paragraph" w:styleId="Encabezado">
    <w:name w:val="header"/>
    <w:basedOn w:val="Normal"/>
    <w:link w:val="EncabezadoCar"/>
    <w:uiPriority w:val="99"/>
    <w:unhideWhenUsed/>
    <w:rsid w:val="00E36925"/>
    <w:pPr>
      <w:tabs>
        <w:tab w:val="center" w:pos="4419"/>
        <w:tab w:val="right" w:pos="8838"/>
      </w:tabs>
    </w:pPr>
  </w:style>
  <w:style w:type="character" w:customStyle="1" w:styleId="EncabezadoCar">
    <w:name w:val="Encabezado Car"/>
    <w:basedOn w:val="Fuentedeprrafopredeter"/>
    <w:link w:val="Encabezado"/>
    <w:uiPriority w:val="99"/>
    <w:rsid w:val="00E36925"/>
  </w:style>
  <w:style w:type="paragraph" w:styleId="Piedepgina">
    <w:name w:val="footer"/>
    <w:basedOn w:val="Normal"/>
    <w:link w:val="PiedepginaCar"/>
    <w:uiPriority w:val="99"/>
    <w:unhideWhenUsed/>
    <w:rsid w:val="00E36925"/>
    <w:pPr>
      <w:tabs>
        <w:tab w:val="center" w:pos="4419"/>
        <w:tab w:val="right" w:pos="8838"/>
      </w:tabs>
    </w:pPr>
  </w:style>
  <w:style w:type="character" w:customStyle="1" w:styleId="PiedepginaCar">
    <w:name w:val="Pie de página Car"/>
    <w:basedOn w:val="Fuentedeprrafopredeter"/>
    <w:link w:val="Piedepgina"/>
    <w:uiPriority w:val="99"/>
    <w:rsid w:val="00E36925"/>
  </w:style>
  <w:style w:type="character" w:styleId="Nmerodepgina">
    <w:name w:val="page number"/>
    <w:basedOn w:val="Fuentedeprrafopredeter"/>
    <w:uiPriority w:val="99"/>
    <w:semiHidden/>
    <w:unhideWhenUsed/>
    <w:rsid w:val="00E36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2094</Words>
  <Characters>11523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Francisco Reyes</dc:creator>
  <cp:keywords/>
  <dc:description/>
  <cp:lastModifiedBy>Carlos Francisco Reyes</cp:lastModifiedBy>
  <cp:revision>7</cp:revision>
  <dcterms:created xsi:type="dcterms:W3CDTF">2022-10-12T22:50:00Z</dcterms:created>
  <dcterms:modified xsi:type="dcterms:W3CDTF">2022-10-13T00:00:00Z</dcterms:modified>
</cp:coreProperties>
</file>